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hint="eastAsia" w:ascii="黑体" w:hAnsi="黑体" w:eastAsia="黑体" w:cs="黑体"/>
          <w:lang w:eastAsia="zh-CN"/>
        </w:rPr>
      </w:pPr>
      <w:bookmarkStart w:id="14" w:name="_GoBack"/>
      <w:bookmarkEnd w:id="14"/>
      <w:r>
        <w:rPr>
          <w:rFonts w:hint="eastAsia" w:ascii="黑体" w:hAnsi="黑体" w:eastAsia="黑体" w:cs="黑体"/>
        </w:rPr>
        <w:t>附件</w:t>
      </w:r>
      <w:r>
        <w:rPr>
          <w:rFonts w:hint="eastAsia" w:ascii="黑体" w:hAnsi="黑体" w:eastAsia="黑体" w:cs="黑体"/>
          <w:lang w:val="en-US" w:eastAsia="zh-CN"/>
        </w:rPr>
        <w:t>7</w:t>
      </w:r>
    </w:p>
    <w:p>
      <w:pPr>
        <w:jc w:val="center"/>
        <w:rPr>
          <w:rFonts w:eastAsia="仿宋"/>
          <w:sz w:val="30"/>
          <w:szCs w:val="30"/>
        </w:rPr>
      </w:pPr>
    </w:p>
    <w:p>
      <w:pPr>
        <w:jc w:val="center"/>
        <w:rPr>
          <w:rFonts w:eastAsia="仿宋"/>
          <w:sz w:val="30"/>
          <w:szCs w:val="30"/>
        </w:rPr>
      </w:pPr>
    </w:p>
    <w:p>
      <w:pPr>
        <w:ind w:firstLine="960"/>
        <w:jc w:val="center"/>
        <w:rPr>
          <w:rFonts w:eastAsia="黑体"/>
          <w:sz w:val="48"/>
          <w:szCs w:val="48"/>
        </w:rPr>
      </w:pPr>
    </w:p>
    <w:p>
      <w:pPr>
        <w:spacing w:line="480" w:lineRule="auto"/>
        <w:ind w:firstLine="0" w:firstLineChars="0"/>
        <w:jc w:val="center"/>
        <w:rPr>
          <w:rFonts w:ascii="方正小标宋简体" w:eastAsia="方正小标宋简体"/>
          <w:sz w:val="44"/>
          <w:szCs w:val="44"/>
        </w:rPr>
      </w:pPr>
      <w:r>
        <w:rPr>
          <w:rFonts w:hint="eastAsia" w:ascii="方正小标宋简体" w:eastAsia="方正小标宋简体"/>
          <w:sz w:val="44"/>
          <w:szCs w:val="44"/>
        </w:rPr>
        <w:t>生物制品变更受理审查指南</w:t>
      </w:r>
    </w:p>
    <w:p>
      <w:pPr>
        <w:spacing w:line="480" w:lineRule="auto"/>
        <w:ind w:firstLine="0" w:firstLineChars="0"/>
        <w:jc w:val="center"/>
        <w:rPr>
          <w:rFonts w:ascii="方正小标宋简体" w:eastAsia="方正小标宋简体"/>
          <w:sz w:val="44"/>
          <w:szCs w:val="44"/>
        </w:rPr>
      </w:pPr>
      <w:r>
        <w:rPr>
          <w:rFonts w:hint="eastAsia" w:ascii="方正小标宋简体" w:eastAsia="方正小标宋简体"/>
          <w:sz w:val="44"/>
          <w:szCs w:val="44"/>
        </w:rPr>
        <w:t>（征求意见稿）</w:t>
      </w:r>
    </w:p>
    <w:p>
      <w:pPr>
        <w:ind w:firstLine="720"/>
        <w:jc w:val="center"/>
        <w:rPr>
          <w:rFonts w:ascii="黑体" w:hAnsi="黑体" w:eastAsia="黑体" w:cs="仿宋_GB2312"/>
          <w:color w:val="000000"/>
          <w:sz w:val="36"/>
          <w:szCs w:val="36"/>
        </w:rPr>
      </w:pPr>
    </w:p>
    <w:p>
      <w:pPr>
        <w:ind w:firstLine="720"/>
        <w:jc w:val="center"/>
        <w:rPr>
          <w:rFonts w:ascii="黑体" w:hAnsi="黑体" w:eastAsia="黑体" w:cs="仿宋_GB2312"/>
          <w:color w:val="000000"/>
          <w:sz w:val="36"/>
          <w:szCs w:val="36"/>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jc w:val="center"/>
        <w:rPr>
          <w:rFonts w:eastAsia="仿宋"/>
          <w:sz w:val="30"/>
          <w:szCs w:val="30"/>
        </w:rPr>
      </w:pPr>
    </w:p>
    <w:p>
      <w:pPr>
        <w:spacing w:line="300" w:lineRule="auto"/>
        <w:ind w:firstLine="181" w:firstLineChars="0"/>
        <w:jc w:val="center"/>
        <w:rPr>
          <w:rFonts w:ascii="仿宋_GB2312" w:cs="仿宋"/>
        </w:rPr>
      </w:pPr>
      <w:r>
        <w:rPr>
          <w:rFonts w:hint="eastAsia" w:ascii="仿宋_GB2312" w:cs="仿宋"/>
        </w:rPr>
        <w:t>国家药品监督管理局</w:t>
      </w:r>
    </w:p>
    <w:p>
      <w:pPr>
        <w:spacing w:line="300" w:lineRule="auto"/>
        <w:ind w:firstLine="0" w:firstLineChars="0"/>
        <w:jc w:val="center"/>
        <w:rPr>
          <w:rFonts w:ascii="仿宋_GB2312"/>
        </w:rPr>
      </w:pPr>
      <w:r>
        <w:t>2020</w:t>
      </w:r>
      <w:r>
        <w:rPr>
          <w:rFonts w:hint="eastAsia"/>
        </w:rPr>
        <w:t>年</w:t>
      </w:r>
      <w:r>
        <w:t xml:space="preserve"> </w:t>
      </w:r>
      <w:r>
        <w:rPr>
          <w:rFonts w:hint="eastAsia"/>
        </w:rPr>
        <w:t xml:space="preserve">月 </w:t>
      </w:r>
      <w:r>
        <w:rPr>
          <w:rFonts w:hint="eastAsia" w:ascii="仿宋_GB2312"/>
        </w:rPr>
        <w:t>日</w:t>
      </w:r>
    </w:p>
    <w:p>
      <w:pPr>
        <w:widowControl/>
        <w:spacing w:after="240"/>
        <w:ind w:firstLine="0" w:firstLineChars="0"/>
        <w:jc w:val="cente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pPr>
    </w:p>
    <w:p>
      <w:pPr>
        <w:pStyle w:val="9"/>
        <w:tabs>
          <w:tab w:val="right" w:leader="dot" w:pos="8296"/>
        </w:tabs>
        <w:spacing w:line="560" w:lineRule="exact"/>
        <w:ind w:left="0" w:leftChars="0"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目</w:t>
      </w:r>
      <w:r>
        <w:rPr>
          <w:rFonts w:ascii="方正小标宋简体" w:hAnsi="黑体" w:eastAsia="方正小标宋简体"/>
          <w:sz w:val="44"/>
          <w:szCs w:val="44"/>
        </w:rPr>
        <w:t xml:space="preserve">    </w:t>
      </w:r>
      <w:r>
        <w:rPr>
          <w:rFonts w:hint="eastAsia" w:ascii="方正小标宋简体" w:hAnsi="黑体" w:eastAsia="方正小标宋简体"/>
          <w:sz w:val="44"/>
          <w:szCs w:val="44"/>
        </w:rPr>
        <w:t>录</w:t>
      </w:r>
    </w:p>
    <w:p>
      <w:pPr>
        <w:spacing w:line="600" w:lineRule="exact"/>
        <w:ind w:firstLine="0" w:firstLineChars="0"/>
        <w:jc w:val="center"/>
        <w:rPr>
          <w:sz w:val="44"/>
          <w:szCs w:val="44"/>
        </w:rPr>
      </w:pPr>
    </w:p>
    <w:p>
      <w:pPr>
        <w:pStyle w:val="9"/>
        <w:tabs>
          <w:tab w:val="right" w:leader="dot" w:pos="8296"/>
        </w:tabs>
        <w:spacing w:line="560" w:lineRule="exact"/>
        <w:ind w:left="0" w:leftChars="0" w:firstLine="640"/>
        <w:rPr>
          <w:rStyle w:val="22"/>
          <w:rFonts w:ascii="黑体" w:hAnsi="黑体" w:eastAsia="方正小标宋简体"/>
          <w:color w:val="auto"/>
          <w:u w:val="none"/>
        </w:rPr>
      </w:pPr>
      <w:r>
        <w:rPr>
          <w:rStyle w:val="22"/>
          <w:rFonts w:ascii="黑体" w:hAnsi="黑体" w:eastAsia="方正小标宋简体"/>
          <w:color w:val="auto"/>
          <w:u w:val="none"/>
        </w:rPr>
        <w:fldChar w:fldCharType="begin"/>
      </w:r>
      <w:r>
        <w:rPr>
          <w:rStyle w:val="22"/>
          <w:rFonts w:ascii="黑体" w:hAnsi="黑体" w:eastAsia="方正小标宋简体"/>
          <w:color w:val="auto"/>
          <w:u w:val="none"/>
        </w:rPr>
        <w:instrText xml:space="preserve"> TOC \o "1-4" \h \z \u </w:instrText>
      </w:r>
      <w:r>
        <w:rPr>
          <w:rStyle w:val="22"/>
          <w:rFonts w:ascii="黑体" w:hAnsi="黑体" w:eastAsia="方正小标宋简体"/>
          <w:color w:val="auto"/>
          <w:u w:val="none"/>
        </w:rPr>
        <w:fldChar w:fldCharType="separate"/>
      </w:r>
      <w:r>
        <w:fldChar w:fldCharType="begin"/>
      </w:r>
      <w:r>
        <w:instrText xml:space="preserve"> HYPERLINK \l "_Toc33798927" </w:instrText>
      </w:r>
      <w:r>
        <w:fldChar w:fldCharType="separate"/>
      </w:r>
      <w:r>
        <w:rPr>
          <w:rStyle w:val="22"/>
          <w:rFonts w:ascii="黑体" w:hAnsi="黑体" w:eastAsia="方正小标宋简体"/>
          <w:color w:val="auto"/>
          <w:u w:val="none"/>
        </w:rPr>
        <w:t>一、适用范围</w:t>
      </w:r>
      <w:r>
        <w:rPr>
          <w:rStyle w:val="22"/>
          <w:rFonts w:ascii="黑体" w:hAnsi="黑体" w:eastAsia="方正小标宋简体"/>
          <w:color w:val="auto"/>
          <w:u w:val="none"/>
        </w:rPr>
        <w:tab/>
      </w:r>
      <w:r>
        <w:rPr>
          <w:rStyle w:val="22"/>
          <w:rFonts w:eastAsia="方正小标宋简体"/>
          <w:color w:val="auto"/>
          <w:u w:val="none"/>
        </w:rPr>
        <w:t>1</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eastAsia="方正小标宋简体"/>
          <w:color w:val="auto"/>
          <w:u w:val="none"/>
        </w:rPr>
      </w:pPr>
      <w:r>
        <w:fldChar w:fldCharType="begin"/>
      </w:r>
      <w:r>
        <w:instrText xml:space="preserve"> HYPERLINK \l "_Toc33798928" </w:instrText>
      </w:r>
      <w:r>
        <w:fldChar w:fldCharType="separate"/>
      </w:r>
      <w:r>
        <w:rPr>
          <w:rStyle w:val="22"/>
          <w:rFonts w:ascii="黑体" w:hAnsi="黑体" w:eastAsia="方正小标宋简体"/>
          <w:color w:val="auto"/>
          <w:u w:val="none"/>
        </w:rPr>
        <w:t>二、受理部门</w:t>
      </w:r>
      <w:r>
        <w:rPr>
          <w:rStyle w:val="22"/>
          <w:rFonts w:ascii="黑体" w:hAnsi="黑体" w:eastAsia="方正小标宋简体"/>
          <w:color w:val="auto"/>
          <w:u w:val="none"/>
        </w:rPr>
        <w:tab/>
      </w:r>
      <w:r>
        <w:rPr>
          <w:rStyle w:val="22"/>
          <w:rFonts w:eastAsia="方正小标宋简体"/>
          <w:color w:val="auto"/>
          <w:u w:val="none"/>
        </w:rPr>
        <w:t>1</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eastAsia="方正小标宋简体"/>
          <w:color w:val="auto"/>
          <w:u w:val="none"/>
        </w:rPr>
      </w:pPr>
      <w:r>
        <w:fldChar w:fldCharType="begin"/>
      </w:r>
      <w:r>
        <w:instrText xml:space="preserve"> HYPERLINK \l "_Toc33798929" </w:instrText>
      </w:r>
      <w:r>
        <w:fldChar w:fldCharType="separate"/>
      </w:r>
      <w:r>
        <w:rPr>
          <w:rStyle w:val="22"/>
          <w:rFonts w:ascii="黑体" w:hAnsi="黑体" w:eastAsia="方正小标宋简体"/>
          <w:color w:val="auto"/>
          <w:u w:val="none"/>
        </w:rPr>
        <w:t>三、资料基本要求</w:t>
      </w:r>
      <w:r>
        <w:rPr>
          <w:rStyle w:val="22"/>
          <w:rFonts w:ascii="黑体" w:hAnsi="黑体" w:eastAsia="方正小标宋简体"/>
          <w:color w:val="auto"/>
          <w:u w:val="none"/>
        </w:rPr>
        <w:tab/>
      </w:r>
      <w:r>
        <w:rPr>
          <w:rStyle w:val="22"/>
          <w:rFonts w:hint="eastAsia" w:eastAsia="方正小标宋简体"/>
          <w:color w:val="auto"/>
          <w:u w:val="none"/>
        </w:rPr>
        <w:t>1</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"_Toc33798930" </w:instrText>
      </w:r>
      <w:r>
        <w:fldChar w:fldCharType="separate"/>
      </w:r>
      <w:r>
        <w:rPr>
          <w:rStyle w:val="22"/>
          <w:rFonts w:hint="eastAsia" w:ascii="楷体_GB2312"/>
          <w:color w:val="auto"/>
          <w:u w:val="none"/>
        </w:rPr>
        <w:t>（一）申请表的整理</w:t>
      </w:r>
      <w:r>
        <w:rPr>
          <w:rStyle w:val="22"/>
          <w:rFonts w:hint="eastAsia" w:ascii="楷体_GB2312"/>
          <w:color w:val="auto"/>
          <w:u w:val="none"/>
        </w:rPr>
        <w:tab/>
      </w:r>
      <w:r>
        <w:rPr>
          <w:rStyle w:val="22"/>
          <w:rFonts w:hint="eastAsia" w:eastAsia="方正小标宋简体"/>
          <w:color w:val="auto"/>
          <w:u w:val="none"/>
        </w:rPr>
        <w:t>1</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eastAsia="方正小标宋简体"/>
          <w:color w:val="auto"/>
          <w:u w:val="none"/>
        </w:rPr>
      </w:pPr>
      <w:r>
        <w:rPr>
          <w:rStyle w:val="22"/>
          <w:rFonts w:hint="eastAsia" w:ascii="楷体_GB2312"/>
          <w:color w:val="auto"/>
          <w:u w:val="none"/>
        </w:rPr>
        <w:t xml:space="preserve">   </w:t>
      </w:r>
      <w:r>
        <w:fldChar w:fldCharType="begin"/>
      </w:r>
      <w:r>
        <w:instrText xml:space="preserve"> HYPERLINK \l "_Toc33798931" </w:instrText>
      </w:r>
      <w:r>
        <w:fldChar w:fldCharType="separate"/>
      </w:r>
      <w:r>
        <w:rPr>
          <w:rStyle w:val="22"/>
          <w:rFonts w:hint="eastAsia" w:ascii="楷体_GB2312"/>
          <w:color w:val="auto"/>
          <w:u w:val="none"/>
        </w:rPr>
        <w:t>（二）申报资料的整理</w:t>
      </w:r>
      <w:r>
        <w:rPr>
          <w:rStyle w:val="22"/>
          <w:rFonts w:hint="eastAsia" w:ascii="楷体_GB2312"/>
          <w:color w:val="auto"/>
          <w:u w:val="none"/>
        </w:rPr>
        <w:tab/>
      </w:r>
      <w:r>
        <w:rPr>
          <w:rStyle w:val="22"/>
          <w:rFonts w:hint="eastAsia" w:eastAsia="方正小标宋简体"/>
          <w:color w:val="auto"/>
          <w:u w:val="none"/>
        </w:rPr>
        <w:t>1</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color w:val="auto"/>
          <w:u w:val="none"/>
        </w:rPr>
      </w:pPr>
      <w:r>
        <w:fldChar w:fldCharType="begin"/>
      </w:r>
      <w:r>
        <w:instrText xml:space="preserve"> HYPERLINK \l "_Toc33798932" </w:instrText>
      </w:r>
      <w:r>
        <w:fldChar w:fldCharType="separate"/>
      </w:r>
      <w:r>
        <w:rPr>
          <w:rStyle w:val="22"/>
          <w:rFonts w:hint="eastAsia" w:ascii="黑体" w:hAnsi="黑体" w:eastAsia="方正小标宋简体"/>
          <w:color w:val="auto"/>
          <w:u w:val="none"/>
        </w:rPr>
        <w:t>四、形式审查要点</w:t>
      </w:r>
      <w:r>
        <w:rPr>
          <w:rStyle w:val="22"/>
          <w:rFonts w:hint="eastAsia" w:ascii="黑体"/>
          <w:color w:val="auto"/>
          <w:u w:val="none"/>
        </w:rPr>
        <w:tab/>
      </w:r>
      <w:r>
        <w:rPr>
          <w:rStyle w:val="22"/>
          <w:rFonts w:eastAsia="方正小标宋简体"/>
          <w:color w:val="auto"/>
          <w:u w:val="none"/>
        </w:rPr>
        <w:t>2</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"_Toc33798933" </w:instrText>
      </w:r>
      <w:r>
        <w:fldChar w:fldCharType="separate"/>
      </w:r>
      <w:r>
        <w:rPr>
          <w:rStyle w:val="22"/>
          <w:rFonts w:hint="eastAsia" w:ascii="楷体_GB2312"/>
          <w:color w:val="auto"/>
          <w:u w:val="none"/>
        </w:rPr>
        <w:t>（一）申报事项审查要点</w:t>
      </w:r>
      <w:r>
        <w:rPr>
          <w:rStyle w:val="22"/>
          <w:rFonts w:hint="eastAsia" w:ascii="楷体_GB2312"/>
          <w:color w:val="auto"/>
          <w:u w:val="none"/>
        </w:rPr>
        <w:tab/>
      </w:r>
      <w:r>
        <w:rPr>
          <w:rStyle w:val="22"/>
          <w:rFonts w:eastAsia="方正小标宋简体"/>
          <w:color w:val="auto"/>
          <w:u w:val="none"/>
        </w:rPr>
        <w:t>2</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"_Toc33798935" </w:instrText>
      </w:r>
      <w:r>
        <w:fldChar w:fldCharType="separate"/>
      </w:r>
      <w:r>
        <w:rPr>
          <w:rStyle w:val="22"/>
          <w:rFonts w:hint="eastAsia" w:ascii="楷体_GB2312"/>
          <w:color w:val="auto"/>
          <w:u w:val="none"/>
        </w:rPr>
        <w:t>（二）申请表审查要点</w:t>
      </w:r>
      <w:r>
        <w:rPr>
          <w:rStyle w:val="22"/>
          <w:rFonts w:hint="eastAsia" w:ascii="楷体_GB2312"/>
          <w:color w:val="auto"/>
          <w:u w:val="none"/>
        </w:rPr>
        <w:tab/>
      </w:r>
      <w:r>
        <w:rPr>
          <w:rStyle w:val="22"/>
          <w:rFonts w:hint="eastAsia" w:eastAsia="方正小标宋简体"/>
          <w:color w:val="auto"/>
          <w:u w:val="none"/>
        </w:rPr>
        <w:t>3</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"_Toc37151680" </w:instrText>
      </w:r>
      <w:r>
        <w:fldChar w:fldCharType="separate"/>
      </w:r>
      <w:r>
        <w:rPr>
          <w:rStyle w:val="22"/>
          <w:rFonts w:hint="eastAsia" w:ascii="楷体_GB2312"/>
          <w:color w:val="auto"/>
          <w:u w:val="none"/>
        </w:rPr>
        <w:t>（三）申报资料审查要点</w:t>
      </w:r>
      <w:r>
        <w:rPr>
          <w:rStyle w:val="22"/>
          <w:rFonts w:hint="eastAsia" w:ascii="楷体_GB2312"/>
          <w:color w:val="auto"/>
          <w:u w:val="none"/>
        </w:rPr>
        <w:tab/>
      </w:r>
      <w:r>
        <w:rPr>
          <w:rStyle w:val="22"/>
          <w:rFonts w:eastAsia="方正小标宋简体"/>
          <w:color w:val="auto"/>
          <w:u w:val="none"/>
        </w:rPr>
        <w:t>3</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eastAsia="方正小标宋简体"/>
          <w:color w:val="auto"/>
          <w:u w:val="none"/>
        </w:rPr>
      </w:pPr>
      <w:r>
        <w:rPr>
          <w:rStyle w:val="22"/>
          <w:rFonts w:hint="eastAsia" w:ascii="楷体_GB2312"/>
          <w:color w:val="auto"/>
          <w:u w:val="none"/>
        </w:rPr>
        <w:t xml:space="preserve">   </w:t>
      </w:r>
      <w:r>
        <w:fldChar w:fldCharType="begin"/>
      </w:r>
      <w:r>
        <w:instrText xml:space="preserve"> HYPERLINK \l "_Toc33798937" </w:instrText>
      </w:r>
      <w:r>
        <w:fldChar w:fldCharType="separate"/>
      </w:r>
      <w:r>
        <w:rPr>
          <w:rStyle w:val="22"/>
          <w:rFonts w:hint="eastAsia" w:ascii="楷体_GB2312"/>
          <w:color w:val="auto"/>
          <w:u w:val="none"/>
        </w:rPr>
        <w:t>（四）其他提示</w:t>
      </w:r>
      <w:r>
        <w:rPr>
          <w:rStyle w:val="22"/>
          <w:rFonts w:hint="eastAsia" w:ascii="楷体_GB2312"/>
          <w:color w:val="auto"/>
          <w:u w:val="none"/>
        </w:rPr>
        <w:tab/>
      </w:r>
      <w:r>
        <w:rPr>
          <w:rStyle w:val="22"/>
          <w:rFonts w:hint="eastAsia" w:eastAsia="方正小标宋简体"/>
          <w:color w:val="auto"/>
          <w:u w:val="none"/>
        </w:rPr>
        <w:t>7</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color w:val="auto"/>
          <w:u w:val="none"/>
        </w:rPr>
      </w:pPr>
      <w:r>
        <w:fldChar w:fldCharType="begin"/>
      </w:r>
      <w:r>
        <w:instrText xml:space="preserve"> HYPERLINK \l "_Toc33798938" </w:instrText>
      </w:r>
      <w:r>
        <w:fldChar w:fldCharType="separate"/>
      </w:r>
      <w:r>
        <w:rPr>
          <w:rStyle w:val="22"/>
          <w:rFonts w:hint="eastAsia" w:ascii="黑体" w:hAnsi="黑体" w:eastAsia="方正小标宋简体"/>
          <w:color w:val="auto"/>
          <w:u w:val="none"/>
        </w:rPr>
        <w:t>五、受理审查决定</w:t>
      </w:r>
      <w:r>
        <w:rPr>
          <w:rStyle w:val="22"/>
          <w:rFonts w:hint="eastAsia" w:ascii="黑体" w:hAnsi="黑体"/>
          <w:color w:val="auto"/>
          <w:u w:val="none"/>
        </w:rPr>
        <w:tab/>
      </w:r>
      <w:r>
        <w:rPr>
          <w:rStyle w:val="22"/>
          <w:rFonts w:eastAsia="方正小标宋简体"/>
          <w:color w:val="auto"/>
          <w:u w:val="none"/>
        </w:rPr>
        <w:t>8</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"_Toc33798939" </w:instrText>
      </w:r>
      <w:r>
        <w:fldChar w:fldCharType="separate"/>
      </w:r>
      <w:r>
        <w:rPr>
          <w:rStyle w:val="22"/>
          <w:rFonts w:hint="eastAsia" w:ascii="楷体_GB2312"/>
          <w:color w:val="auto"/>
          <w:u w:val="none"/>
        </w:rPr>
        <w:t>（一）受理</w:t>
      </w:r>
      <w:r>
        <w:rPr>
          <w:rStyle w:val="22"/>
          <w:rFonts w:hint="eastAsia" w:ascii="楷体_GB2312"/>
          <w:color w:val="auto"/>
          <w:u w:val="none"/>
        </w:rPr>
        <w:tab/>
      </w:r>
      <w:r>
        <w:rPr>
          <w:rStyle w:val="22"/>
          <w:rFonts w:hint="eastAsia" w:eastAsia="方正小标宋简体"/>
          <w:color w:val="auto"/>
          <w:u w:val="none"/>
        </w:rPr>
        <w:t>8</w:t>
      </w:r>
      <w:r>
        <w:rPr>
          <w:rStyle w:val="22"/>
          <w:rFonts w:hint="eastAsia"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w:t>
      </w:r>
      <w:r>
        <w:fldChar w:fldCharType="begin"/>
      </w:r>
      <w:r>
        <w:instrText xml:space="preserve"> HYPERLINK \l "_Toc33798940" </w:instrText>
      </w:r>
      <w:r>
        <w:fldChar w:fldCharType="separate"/>
      </w:r>
      <w:r>
        <w:rPr>
          <w:rStyle w:val="22"/>
          <w:rFonts w:hint="eastAsia" w:ascii="楷体_GB2312"/>
          <w:color w:val="auto"/>
          <w:u w:val="none"/>
        </w:rPr>
        <w:t>（二）补正</w:t>
      </w:r>
      <w:r>
        <w:rPr>
          <w:rStyle w:val="22"/>
          <w:rFonts w:hint="eastAsia" w:ascii="楷体_GB2312"/>
          <w:color w:val="auto"/>
          <w:u w:val="none"/>
        </w:rPr>
        <w:tab/>
      </w:r>
      <w:r>
        <w:rPr>
          <w:rStyle w:val="22"/>
          <w:rFonts w:eastAsia="方正小标宋简体"/>
          <w:color w:val="auto"/>
          <w:u w:val="none"/>
        </w:rPr>
        <w:t>8</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（三）不予受理</w:t>
      </w:r>
      <w:r>
        <w:rPr>
          <w:rStyle w:val="22"/>
          <w:rFonts w:hint="eastAsia" w:ascii="楷体_GB2312"/>
          <w:color w:val="auto"/>
          <w:u w:val="none"/>
        </w:rPr>
        <w:tab/>
      </w:r>
      <w:r>
        <w:rPr>
          <w:rStyle w:val="22"/>
          <w:rFonts w:eastAsia="方正小标宋简体"/>
          <w:color w:val="auto"/>
          <w:u w:val="none"/>
        </w:rPr>
        <w:t>8</w:t>
      </w:r>
    </w:p>
    <w:p>
      <w:pPr>
        <w:pStyle w:val="9"/>
        <w:tabs>
          <w:tab w:val="right" w:leader="dot" w:pos="8296"/>
        </w:tabs>
        <w:spacing w:line="560" w:lineRule="exact"/>
        <w:ind w:left="0" w:leftChars="0" w:firstLine="640"/>
        <w:rPr>
          <w:rStyle w:val="22"/>
          <w:rFonts w:ascii="黑体" w:hAnsi="黑体" w:eastAsia="方正小标宋简体"/>
          <w:color w:val="auto"/>
          <w:u w:val="none"/>
        </w:rPr>
      </w:pPr>
      <w:r>
        <w:rPr>
          <w:rStyle w:val="22"/>
          <w:rFonts w:hint="eastAsia" w:ascii="楷体_GB2312"/>
          <w:color w:val="auto"/>
          <w:u w:val="none"/>
        </w:rPr>
        <w:t xml:space="preserve">   </w:t>
      </w:r>
      <w:r>
        <w:fldChar w:fldCharType="begin"/>
      </w:r>
      <w:r>
        <w:instrText xml:space="preserve"> HYPERLINK \l "_Toc33798941" </w:instrText>
      </w:r>
      <w:r>
        <w:fldChar w:fldCharType="separate"/>
      </w:r>
      <w:r>
        <w:rPr>
          <w:rStyle w:val="22"/>
          <w:rFonts w:hint="eastAsia" w:ascii="楷体_GB2312"/>
          <w:color w:val="auto"/>
          <w:u w:val="none"/>
        </w:rPr>
        <w:t>（四）受理流程图</w:t>
      </w:r>
      <w:r>
        <w:rPr>
          <w:rStyle w:val="22"/>
          <w:rFonts w:hint="eastAsia" w:ascii="楷体_GB2312"/>
          <w:color w:val="auto"/>
          <w:u w:val="none"/>
        </w:rPr>
        <w:tab/>
      </w:r>
      <w:r>
        <w:rPr>
          <w:rStyle w:val="22"/>
          <w:rFonts w:eastAsia="方正小标宋简体"/>
          <w:color w:val="auto"/>
          <w:u w:val="none"/>
        </w:rPr>
        <w:t>8</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黑体" w:hAnsi="黑体" w:eastAsia="方正小标宋简体"/>
          <w:color w:val="auto"/>
          <w:u w:val="none"/>
        </w:rPr>
      </w:pPr>
      <w:r>
        <w:fldChar w:fldCharType="begin"/>
      </w:r>
      <w:r>
        <w:instrText xml:space="preserve"> HYPERLINK \l "_Toc33798942" </w:instrText>
      </w:r>
      <w:r>
        <w:fldChar w:fldCharType="separate"/>
      </w:r>
      <w:r>
        <w:rPr>
          <w:rStyle w:val="22"/>
          <w:rFonts w:hint="eastAsia" w:ascii="黑体" w:hAnsi="黑体" w:eastAsia="方正小标宋简体"/>
          <w:color w:val="auto"/>
          <w:u w:val="none"/>
        </w:rPr>
        <w:t>六、其他</w:t>
      </w:r>
      <w:r>
        <w:rPr>
          <w:rStyle w:val="22"/>
          <w:rFonts w:hint="eastAsia" w:ascii="黑体" w:hAnsi="黑体" w:eastAsia="方正小标宋简体"/>
          <w:color w:val="auto"/>
          <w:u w:val="none"/>
        </w:rPr>
        <w:tab/>
      </w:r>
      <w:r>
        <w:rPr>
          <w:rStyle w:val="22"/>
          <w:rFonts w:eastAsia="方正小标宋简体"/>
          <w:color w:val="auto"/>
          <w:u w:val="none"/>
        </w:rPr>
        <w:t>9</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eastAsia="方正小标宋简体"/>
          <w:color w:val="auto"/>
          <w:u w:val="none"/>
        </w:rPr>
      </w:pPr>
      <w:r>
        <w:fldChar w:fldCharType="begin"/>
      </w:r>
      <w:r>
        <w:instrText xml:space="preserve"> HYPERLINK \l "_Toc33798943" </w:instrText>
      </w:r>
      <w:r>
        <w:fldChar w:fldCharType="separate"/>
      </w:r>
      <w:r>
        <w:rPr>
          <w:rStyle w:val="22"/>
          <w:rFonts w:hint="eastAsia" w:ascii="黑体" w:hAnsi="黑体" w:eastAsia="方正小标宋简体"/>
          <w:color w:val="auto"/>
          <w:u w:val="none"/>
        </w:rPr>
        <w:t>七、附件</w:t>
      </w:r>
      <w:r>
        <w:rPr>
          <w:rStyle w:val="22"/>
          <w:rFonts w:hint="eastAsia" w:ascii="黑体" w:hAnsi="黑体" w:eastAsia="方正小标宋简体"/>
          <w:color w:val="auto"/>
          <w:u w:val="none"/>
        </w:rPr>
        <w:fldChar w:fldCharType="end"/>
      </w:r>
      <w:r>
        <w:rPr>
          <w:rStyle w:val="22"/>
          <w:rFonts w:hint="eastAsia" w:ascii="黑体" w:hAnsi="黑体" w:eastAsia="方正小标宋简体"/>
          <w:color w:val="auto"/>
          <w:u w:val="none"/>
        </w:rPr>
        <w:tab/>
      </w:r>
      <w:r>
        <w:rPr>
          <w:rStyle w:val="22"/>
          <w:rFonts w:eastAsia="方正小标宋简体"/>
          <w:color w:val="auto"/>
          <w:u w:val="none"/>
        </w:rPr>
        <w:t>9</w:t>
      </w:r>
    </w:p>
    <w:p>
      <w:pPr>
        <w:pStyle w:val="9"/>
        <w:tabs>
          <w:tab w:val="right" w:leader="dot" w:pos="8296"/>
        </w:tabs>
        <w:spacing w:line="560" w:lineRule="exact"/>
        <w:ind w:left="0" w:leftChars="0" w:firstLine="640"/>
        <w:rPr>
          <w:rStyle w:val="22"/>
          <w:rFonts w:ascii="楷体_GB2312"/>
          <w:color w:val="auto"/>
          <w:u w:val="none"/>
        </w:rPr>
      </w:pPr>
      <w:r>
        <w:rPr>
          <w:rStyle w:val="22"/>
          <w:rFonts w:hint="eastAsia" w:ascii="楷体_GB2312"/>
          <w:color w:val="auto"/>
          <w:u w:val="none"/>
        </w:rPr>
        <w:t xml:space="preserve">   1．</w:t>
      </w:r>
      <w:r>
        <w:fldChar w:fldCharType="begin"/>
      </w:r>
      <w:r>
        <w:instrText xml:space="preserve"> HYPERLINK \l "_Toc33798944" </w:instrText>
      </w:r>
      <w:r>
        <w:fldChar w:fldCharType="separate"/>
      </w:r>
      <w:r>
        <w:rPr>
          <w:rStyle w:val="22"/>
          <w:rFonts w:hint="eastAsia" w:ascii="楷体_GB2312"/>
          <w:color w:val="auto"/>
          <w:u w:val="none"/>
        </w:rPr>
        <w:t>生物制品变更申报资料自查表</w:t>
      </w:r>
      <w:r>
        <w:rPr>
          <w:rStyle w:val="22"/>
          <w:rFonts w:hint="eastAsia" w:ascii="楷体_GB2312"/>
          <w:color w:val="auto"/>
          <w:u w:val="none"/>
        </w:rPr>
        <w:tab/>
      </w:r>
      <w:r>
        <w:rPr>
          <w:rStyle w:val="22"/>
          <w:rFonts w:eastAsia="方正小标宋简体"/>
          <w:color w:val="auto"/>
          <w:u w:val="none"/>
        </w:rPr>
        <w:t>10</w:t>
      </w:r>
      <w:r>
        <w:rPr>
          <w:rStyle w:val="22"/>
          <w:rFonts w:eastAsia="方正小标宋简体"/>
          <w:color w:val="auto"/>
          <w:u w:val="none"/>
        </w:rPr>
        <w:fldChar w:fldCharType="end"/>
      </w:r>
    </w:p>
    <w:p>
      <w:pPr>
        <w:pStyle w:val="9"/>
        <w:tabs>
          <w:tab w:val="right" w:leader="dot" w:pos="8296"/>
        </w:tabs>
        <w:spacing w:line="560" w:lineRule="exact"/>
        <w:ind w:left="0" w:leftChars="0" w:firstLine="640"/>
        <w:rPr>
          <w:rStyle w:val="22"/>
          <w:rFonts w:ascii="黑体"/>
          <w:color w:val="000000" w:themeColor="text1"/>
          <w:u w:val="none"/>
          <w14:textFill>
            <w14:solidFill>
              <w14:schemeClr w14:val="tx1"/>
            </w14:solidFill>
          </w14:textFill>
        </w:rPr>
        <w:sectPr>
          <w:footerReference r:id="rId9" w:type="default"/>
          <w:pgSz w:w="11906" w:h="16838"/>
          <w:pgMar w:top="1440" w:right="1800" w:bottom="1440" w:left="1800" w:header="851" w:footer="992" w:gutter="0"/>
          <w:cols w:space="425" w:num="1"/>
          <w:docGrid w:type="lines" w:linePitch="312" w:charSpace="0"/>
        </w:sectPr>
      </w:pPr>
      <w:r>
        <w:rPr>
          <w:rStyle w:val="22"/>
          <w:rFonts w:hint="eastAsia" w:ascii="楷体_GB2312"/>
          <w:color w:val="auto"/>
          <w:u w:val="none"/>
        </w:rPr>
        <w:t xml:space="preserve">   2．参考目录</w:t>
      </w:r>
      <w:r>
        <w:rPr>
          <w:rStyle w:val="22"/>
          <w:rFonts w:hint="eastAsia" w:ascii="楷体_GB2312"/>
          <w:color w:val="auto"/>
          <w:u w:val="none"/>
        </w:rPr>
        <w:tab/>
      </w:r>
      <w:r>
        <w:rPr>
          <w:rStyle w:val="22"/>
          <w:rFonts w:eastAsia="方正小标宋简体"/>
          <w:color w:val="auto"/>
          <w:u w:val="none"/>
        </w:rPr>
        <w:t>13</w:t>
      </w:r>
      <w:r>
        <w:rPr>
          <w:rStyle w:val="22"/>
          <w:rFonts w:ascii="黑体" w:hAnsi="黑体" w:eastAsia="方正小标宋简体"/>
          <w:color w:val="auto"/>
          <w:u w:val="none"/>
        </w:rPr>
        <w:fldChar w:fldCharType="end"/>
      </w:r>
    </w:p>
    <w:p>
      <w:pPr>
        <w:snapToGrid w:val="0"/>
        <w:spacing w:line="560" w:lineRule="exact"/>
        <w:ind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生物制品变更受理审查指南</w:t>
      </w:r>
    </w:p>
    <w:p>
      <w:pPr>
        <w:snapToGrid w:val="0"/>
        <w:spacing w:line="560" w:lineRule="exact"/>
        <w:ind w:firstLine="0" w:firstLineChars="0"/>
        <w:jc w:val="center"/>
        <w:rPr>
          <w:rFonts w:ascii="方正小标宋简体" w:hAnsi="黑体" w:eastAsia="方正小标宋简体"/>
          <w:sz w:val="44"/>
          <w:szCs w:val="44"/>
        </w:rPr>
      </w:pPr>
      <w:r>
        <w:rPr>
          <w:rFonts w:hint="eastAsia" w:ascii="方正小标宋简体" w:hAnsi="黑体" w:eastAsia="方正小标宋简体"/>
          <w:sz w:val="44"/>
          <w:szCs w:val="44"/>
        </w:rPr>
        <w:t>（征求意见稿）</w:t>
      </w:r>
    </w:p>
    <w:p>
      <w:pPr>
        <w:snapToGrid w:val="0"/>
        <w:spacing w:line="560" w:lineRule="exact"/>
        <w:ind w:firstLine="0" w:firstLineChars="0"/>
        <w:jc w:val="center"/>
        <w:rPr>
          <w:rFonts w:ascii="方正小标宋简体" w:hAnsi="黑体" w:eastAsia="方正小标宋简体"/>
          <w:sz w:val="44"/>
          <w:szCs w:val="44"/>
        </w:rPr>
      </w:pPr>
    </w:p>
    <w:p>
      <w:pPr>
        <w:pStyle w:val="4"/>
        <w:keepNext w:val="0"/>
        <w:keepLines w:val="0"/>
        <w:overflowPunct w:val="0"/>
        <w:spacing w:before="0" w:after="0" w:line="560" w:lineRule="exact"/>
        <w:ind w:firstLine="640"/>
        <w:rPr>
          <w:rFonts w:eastAsia="黑体"/>
          <w:b w:val="0"/>
          <w:bCs w:val="0"/>
        </w:rPr>
      </w:pPr>
      <w:bookmarkStart w:id="0" w:name="_Toc499310012"/>
      <w:r>
        <w:rPr>
          <w:rFonts w:eastAsia="黑体"/>
          <w:b w:val="0"/>
          <w:bCs w:val="0"/>
        </w:rPr>
        <w:t>一、适用范围</w:t>
      </w:r>
      <w:bookmarkEnd w:id="0"/>
    </w:p>
    <w:p>
      <w:pPr>
        <w:overflowPunct w:val="0"/>
        <w:spacing w:line="560" w:lineRule="exact"/>
        <w:ind w:firstLine="640"/>
      </w:pPr>
      <w:r>
        <w:t>国家药品监督管理部门审批的</w:t>
      </w:r>
      <w:r>
        <w:rPr>
          <w:rFonts w:hint="eastAsia"/>
          <w:lang w:eastAsia="zh-CN"/>
        </w:rPr>
        <w:t>生物制品</w:t>
      </w:r>
      <w:r>
        <w:t>补充申请事项；国家药品监督管理部门备案事项（境外生产</w:t>
      </w:r>
      <w:r>
        <w:rPr>
          <w:rFonts w:hint="eastAsia"/>
          <w:lang w:eastAsia="zh-CN"/>
        </w:rPr>
        <w:t>生物制品</w:t>
      </w:r>
      <w:r>
        <w:t>适用）以及《药品注册管理办法》中规定的</w:t>
      </w:r>
      <w:r>
        <w:rPr>
          <w:rFonts w:hint="eastAsia"/>
          <w:lang w:eastAsia="zh-CN"/>
        </w:rPr>
        <w:t>生物制品</w:t>
      </w:r>
      <w:r>
        <w:t>临床试验期间变更事项。</w:t>
      </w:r>
    </w:p>
    <w:p>
      <w:pPr>
        <w:pStyle w:val="4"/>
        <w:keepNext w:val="0"/>
        <w:keepLines w:val="0"/>
        <w:overflowPunct w:val="0"/>
        <w:spacing w:before="0" w:after="0" w:line="560" w:lineRule="exact"/>
        <w:ind w:firstLine="640"/>
        <w:rPr>
          <w:rFonts w:eastAsia="黑体"/>
          <w:b w:val="0"/>
          <w:bCs w:val="0"/>
        </w:rPr>
      </w:pPr>
      <w:r>
        <w:rPr>
          <w:rFonts w:eastAsia="黑体"/>
          <w:b w:val="0"/>
          <w:bCs w:val="0"/>
        </w:rPr>
        <w:t>二、受理部门</w:t>
      </w:r>
    </w:p>
    <w:p>
      <w:pPr>
        <w:overflowPunct w:val="0"/>
        <w:spacing w:line="560" w:lineRule="exact"/>
        <w:ind w:firstLine="640"/>
      </w:pPr>
      <w:r>
        <w:t>由国家药品监督管理局药品审评中心受理。</w:t>
      </w:r>
    </w:p>
    <w:p>
      <w:pPr>
        <w:pStyle w:val="4"/>
        <w:keepNext w:val="0"/>
        <w:keepLines w:val="0"/>
        <w:overflowPunct w:val="0"/>
        <w:spacing w:before="0" w:after="0" w:line="560" w:lineRule="exact"/>
        <w:ind w:firstLine="640"/>
        <w:rPr>
          <w:rFonts w:eastAsia="黑体"/>
          <w:b w:val="0"/>
          <w:bCs w:val="0"/>
        </w:rPr>
      </w:pPr>
      <w:bookmarkStart w:id="1" w:name="_Toc33798929"/>
      <w:r>
        <w:rPr>
          <w:rFonts w:eastAsia="黑体"/>
          <w:b w:val="0"/>
          <w:bCs w:val="0"/>
        </w:rPr>
        <w:t>三、资料基本要求</w:t>
      </w:r>
      <w:bookmarkEnd w:id="1"/>
    </w:p>
    <w:p>
      <w:pPr>
        <w:overflowPunct w:val="0"/>
        <w:spacing w:line="560" w:lineRule="exact"/>
        <w:ind w:firstLine="640"/>
      </w:pPr>
      <w:r>
        <w:t>按照《药品注册管理办法》及《</w:t>
      </w:r>
      <w:r>
        <w:rPr>
          <w:rFonts w:hint="eastAsia"/>
        </w:rPr>
        <w:t>已上市生物制品变更事项分类及申报资料要求</w:t>
      </w:r>
      <w:r>
        <w:t>》等规定，提供符合要求的申报资料。</w:t>
      </w:r>
      <w:r>
        <w:rPr>
          <w:rFonts w:hint="eastAsia"/>
        </w:rPr>
        <w:t>目录及项目编号不能改变，</w:t>
      </w:r>
      <w:r>
        <w:t>对应项目无相关信息或研究资料，项目编号和名称也应保留，可在项下注明“不适用”并说明理由。</w:t>
      </w:r>
    </w:p>
    <w:p>
      <w:pPr>
        <w:overflowPunct w:val="0"/>
        <w:spacing w:line="560" w:lineRule="exact"/>
        <w:ind w:firstLine="640"/>
        <w:outlineLvl w:val="3"/>
        <w:rPr>
          <w:rFonts w:eastAsia="楷体_GB2312"/>
        </w:rPr>
      </w:pPr>
      <w:bookmarkStart w:id="2" w:name="_Toc33798930"/>
      <w:r>
        <w:rPr>
          <w:rFonts w:eastAsia="楷体_GB2312"/>
        </w:rPr>
        <w:t>（一）申请表的整理</w:t>
      </w:r>
      <w:bookmarkEnd w:id="2"/>
    </w:p>
    <w:p>
      <w:pPr>
        <w:overflowPunct w:val="0"/>
        <w:spacing w:line="560" w:lineRule="exact"/>
        <w:ind w:firstLine="640"/>
      </w:pPr>
      <w:r>
        <w:rPr>
          <w:rFonts w:hint="eastAsia"/>
          <w:lang w:eastAsia="zh-CN"/>
        </w:rPr>
        <w:t>生物制品</w:t>
      </w:r>
      <w:r>
        <w:t>注册申请表、申报资料自查表、小型微型企业收费优惠申请表（如适用）与申报资料份数一致，均为原件。填写应当准确、完整、规范，不得手写或涂改，并应符合填表说明的要求。</w:t>
      </w:r>
    </w:p>
    <w:p>
      <w:pPr>
        <w:pStyle w:val="5"/>
        <w:keepNext w:val="0"/>
        <w:keepLines w:val="0"/>
        <w:overflowPunct w:val="0"/>
        <w:spacing w:before="0" w:after="0" w:line="560" w:lineRule="exact"/>
        <w:ind w:firstLine="640"/>
        <w:rPr>
          <w:rFonts w:ascii="Times New Roman" w:hAnsi="Times New Roman" w:eastAsia="楷体_GB2312" w:cs="Times New Roman"/>
          <w:b w:val="0"/>
          <w:bCs w:val="0"/>
          <w:sz w:val="32"/>
          <w:szCs w:val="32"/>
        </w:rPr>
      </w:pPr>
      <w:bookmarkStart w:id="3" w:name="_Toc33798931"/>
      <w:r>
        <w:rPr>
          <w:rFonts w:ascii="Times New Roman" w:hAnsi="Times New Roman" w:eastAsia="楷体_GB2312" w:cs="Times New Roman"/>
          <w:b w:val="0"/>
          <w:bCs w:val="0"/>
          <w:sz w:val="32"/>
          <w:szCs w:val="32"/>
        </w:rPr>
        <w:t>（二）申报资料的整理</w:t>
      </w:r>
      <w:bookmarkEnd w:id="3"/>
    </w:p>
    <w:p>
      <w:pPr>
        <w:overflowPunct w:val="0"/>
        <w:spacing w:line="560" w:lineRule="exact"/>
        <w:ind w:firstLine="640"/>
      </w:pPr>
      <w:bookmarkStart w:id="4" w:name="_Toc499310017"/>
      <w:r>
        <w:t>2套完整申请资料（至少1套为原件），每套装入相应的申请表，申报资料首页为申报资料项目目录，具体要求详见《申报资料基本要求》。</w:t>
      </w:r>
    </w:p>
    <w:p>
      <w:pPr>
        <w:pStyle w:val="4"/>
        <w:keepNext w:val="0"/>
        <w:keepLines w:val="0"/>
        <w:overflowPunct w:val="0"/>
        <w:spacing w:before="0" w:after="0" w:line="560" w:lineRule="exact"/>
        <w:ind w:firstLine="640"/>
        <w:rPr>
          <w:rFonts w:eastAsia="黑体"/>
          <w:b w:val="0"/>
          <w:bCs w:val="0"/>
        </w:rPr>
      </w:pPr>
      <w:r>
        <w:rPr>
          <w:rFonts w:eastAsia="黑体"/>
          <w:b w:val="0"/>
          <w:bCs w:val="0"/>
        </w:rPr>
        <w:t>四、</w:t>
      </w:r>
      <w:bookmarkEnd w:id="4"/>
      <w:r>
        <w:rPr>
          <w:rFonts w:eastAsia="黑体"/>
          <w:b w:val="0"/>
          <w:bCs w:val="0"/>
        </w:rPr>
        <w:t>形式审查审查要点</w:t>
      </w:r>
    </w:p>
    <w:p>
      <w:pPr>
        <w:pStyle w:val="5"/>
        <w:keepNext w:val="0"/>
        <w:keepLines w:val="0"/>
        <w:overflowPunct w:val="0"/>
        <w:spacing w:before="0" w:after="0" w:line="560" w:lineRule="exact"/>
        <w:ind w:firstLine="640"/>
        <w:rPr>
          <w:rFonts w:ascii="Times New Roman" w:hAnsi="Times New Roman" w:eastAsia="楷体_GB2312" w:cs="Times New Roman"/>
          <w:b w:val="0"/>
          <w:bCs w:val="0"/>
          <w:sz w:val="32"/>
          <w:szCs w:val="32"/>
        </w:rPr>
      </w:pPr>
      <w:bookmarkStart w:id="5" w:name="_Toc33798933"/>
      <w:bookmarkStart w:id="6" w:name="_Toc499310020"/>
      <w:r>
        <w:rPr>
          <w:rFonts w:ascii="Times New Roman" w:hAnsi="Times New Roman" w:eastAsia="楷体_GB2312" w:cs="Times New Roman"/>
          <w:b w:val="0"/>
          <w:bCs w:val="0"/>
          <w:sz w:val="32"/>
          <w:szCs w:val="32"/>
        </w:rPr>
        <w:t>（一）申请事项审查要点</w:t>
      </w:r>
      <w:bookmarkEnd w:id="5"/>
    </w:p>
    <w:p>
      <w:pPr>
        <w:spacing w:line="560" w:lineRule="exact"/>
        <w:ind w:firstLine="640"/>
      </w:pPr>
      <w:r>
        <w:rPr>
          <w:rFonts w:hint="eastAsia"/>
        </w:rPr>
        <w:t>1.对于已上市生物制品发生变更的，申请人应参照相关技术指导原则进行全面评估，按照《已上市生物制品变更事项及申报资料要求》选择变更事项。</w:t>
      </w:r>
    </w:p>
    <w:p>
      <w:pPr>
        <w:spacing w:line="560" w:lineRule="exact"/>
        <w:ind w:firstLine="640"/>
      </w:pPr>
      <w:r>
        <w:t>2.变更分类应根据实际变更内容以及对产品的安全性、有效性和质量的影响程度进行综合判断。变更分类申请有误需进行调整的，申请人应当按新变更分类重新申报。</w:t>
      </w:r>
    </w:p>
    <w:p>
      <w:pPr>
        <w:spacing w:line="560" w:lineRule="exact"/>
        <w:ind w:firstLine="640"/>
      </w:pPr>
      <w:r>
        <w:t>3.对附条件批准的</w:t>
      </w:r>
      <w:r>
        <w:rPr>
          <w:rFonts w:hint="eastAsia"/>
          <w:lang w:eastAsia="zh-CN"/>
        </w:rPr>
        <w:t>生物制品</w:t>
      </w:r>
      <w:r>
        <w:t>，持有人应当在规定期限内按照要求完成</w:t>
      </w:r>
      <w:r>
        <w:rPr>
          <w:rFonts w:hint="eastAsia"/>
          <w:lang w:eastAsia="zh-CN"/>
        </w:rPr>
        <w:t>生物制品</w:t>
      </w:r>
      <w:r>
        <w:t>临床试验等相关研究，以补充申请方式申报。</w:t>
      </w:r>
    </w:p>
    <w:p>
      <w:pPr>
        <w:spacing w:line="560" w:lineRule="exact"/>
        <w:ind w:firstLine="640"/>
      </w:pPr>
      <w:r>
        <w:t>4.</w:t>
      </w:r>
      <w:r>
        <w:rPr>
          <w:rFonts w:hint="eastAsia"/>
          <w:lang w:eastAsia="zh-CN"/>
        </w:rPr>
        <w:t>生物制品</w:t>
      </w:r>
      <w:r>
        <w:t>临床试验被责令暂停后，申办者拟继续开展</w:t>
      </w:r>
      <w:r>
        <w:rPr>
          <w:rFonts w:hint="eastAsia"/>
          <w:lang w:eastAsia="zh-CN"/>
        </w:rPr>
        <w:t>生物制品</w:t>
      </w:r>
      <w:r>
        <w:t>临床试验的，应当在完成整改后提出恢复临床试验的补充申请。</w:t>
      </w:r>
    </w:p>
    <w:p>
      <w:pPr>
        <w:spacing w:line="560" w:lineRule="exact"/>
        <w:ind w:firstLine="640"/>
      </w:pPr>
      <w:r>
        <w:t>5.临床试验期间，对于变更临床试验方案、重大药学变更、非临床研究重要安全性发现等可能增加受试者安全性风险的，申办者应按照相关规定及时递交补充申请；若申办者同时发生变更的，由变更后的申办者提交补充申请，并提交相关证明文件。</w:t>
      </w:r>
    </w:p>
    <w:p>
      <w:pPr>
        <w:spacing w:line="560" w:lineRule="exact"/>
        <w:ind w:firstLine="640"/>
        <w:rPr>
          <w:color w:val="000000" w:themeColor="text1"/>
          <w14:textFill>
            <w14:solidFill>
              <w14:schemeClr w14:val="tx1"/>
            </w14:solidFill>
          </w14:textFill>
        </w:rPr>
      </w:pPr>
      <w:r>
        <w:t>6.新修订《药品管理法》实施前批准的</w:t>
      </w:r>
      <w:r>
        <w:rPr>
          <w:rFonts w:hint="eastAsia"/>
          <w:lang w:eastAsia="zh-CN"/>
        </w:rPr>
        <w:t>生物制品</w:t>
      </w:r>
      <w:r>
        <w:t>，上市许可持有人应当按照新修订《药品管理法》第四十九条和《国家药监局关于贯彻实施〈中华人民共和国药品管理法〉有关事项的公告》（2019年第103号）</w:t>
      </w:r>
      <w:r>
        <w:rPr>
          <w:color w:val="000000" w:themeColor="text1"/>
          <w14:textFill>
            <w14:solidFill>
              <w14:schemeClr w14:val="tx1"/>
            </w14:solidFill>
          </w14:textFill>
        </w:rPr>
        <w:t>关于上市许可持有人制度的有关规定更新说明书和标签中上市许可持有人的相关信息，</w:t>
      </w:r>
      <w:r>
        <w:rPr>
          <w:rFonts w:hint="eastAsia"/>
          <w:color w:val="000000" w:themeColor="text1"/>
          <w:lang w:eastAsia="zh-CN"/>
          <w14:textFill>
            <w14:solidFill>
              <w14:schemeClr w14:val="tx1"/>
            </w14:solidFill>
          </w14:textFill>
        </w:rPr>
        <w:t>境内生产生物制品在上市许可持有人所在地省、自治区、直辖市药品监督管理部门备案，</w:t>
      </w:r>
      <w:r>
        <w:rPr>
          <w:color w:val="000000" w:themeColor="text1"/>
          <w14:textFill>
            <w14:solidFill>
              <w14:schemeClr w14:val="tx1"/>
            </w14:solidFill>
          </w14:textFill>
        </w:rPr>
        <w:t>境外生产</w:t>
      </w:r>
      <w:r>
        <w:rPr>
          <w:rFonts w:hint="eastAsia"/>
          <w:color w:val="000000" w:themeColor="text1"/>
          <w:lang w:eastAsia="zh-CN"/>
          <w14:textFill>
            <w14:solidFill>
              <w14:schemeClr w14:val="tx1"/>
            </w14:solidFill>
          </w14:textFill>
        </w:rPr>
        <w:t>生物制品</w:t>
      </w:r>
      <w:r>
        <w:rPr>
          <w:color w:val="000000" w:themeColor="text1"/>
          <w14:textFill>
            <w14:solidFill>
              <w14:schemeClr w14:val="tx1"/>
            </w14:solidFill>
          </w14:textFill>
        </w:rPr>
        <w:t>在药品审评中心备案。国家药品监督管理局对说明书和标签修订另有要求的除外。</w:t>
      </w:r>
    </w:p>
    <w:p>
      <w:pPr>
        <w:spacing w:line="560" w:lineRule="exact"/>
        <w:ind w:firstLine="640"/>
      </w:pPr>
      <w:r>
        <w:t>7.多个变更事项可合并提出补充申请。</w:t>
      </w:r>
    </w:p>
    <w:p>
      <w:pPr>
        <w:pStyle w:val="5"/>
        <w:keepNext w:val="0"/>
        <w:keepLines w:val="0"/>
        <w:overflowPunct w:val="0"/>
        <w:spacing w:before="0" w:after="0" w:line="560" w:lineRule="exact"/>
        <w:ind w:firstLine="640"/>
        <w:rPr>
          <w:rFonts w:ascii="Times New Roman" w:hAnsi="Times New Roman" w:eastAsia="楷体_GB2312" w:cs="Times New Roman"/>
          <w:b w:val="0"/>
          <w:bCs w:val="0"/>
          <w:sz w:val="32"/>
          <w:szCs w:val="32"/>
        </w:rPr>
      </w:pPr>
      <w:bookmarkStart w:id="7" w:name="_Toc33798935"/>
      <w:r>
        <w:rPr>
          <w:rFonts w:ascii="Times New Roman" w:hAnsi="Times New Roman" w:eastAsia="楷体_GB2312" w:cs="Times New Roman"/>
          <w:b w:val="0"/>
          <w:bCs w:val="0"/>
          <w:sz w:val="32"/>
          <w:szCs w:val="32"/>
        </w:rPr>
        <w:t>（二）申请表审查要点</w:t>
      </w:r>
      <w:bookmarkEnd w:id="7"/>
    </w:p>
    <w:p>
      <w:pPr>
        <w:overflowPunct w:val="0"/>
        <w:spacing w:line="560" w:lineRule="exact"/>
        <w:ind w:firstLine="640"/>
      </w:pPr>
      <w:r>
        <w:rPr>
          <w:rFonts w:hint="eastAsia"/>
        </w:rPr>
        <w:t>申请表应按照药品注册申请表填表说明的要求规范填写，填报信息应与证明性文件及申报资料保持一致。</w:t>
      </w:r>
    </w:p>
    <w:p>
      <w:pPr>
        <w:overflowPunct w:val="0"/>
        <w:spacing w:line="560" w:lineRule="exact"/>
        <w:ind w:firstLine="640"/>
      </w:pPr>
      <w:r>
        <w:t>1.除提出变更的内容外，其余均应与</w:t>
      </w:r>
      <w:r>
        <w:rPr>
          <w:rFonts w:hint="eastAsia"/>
          <w:lang w:eastAsia="zh-CN"/>
        </w:rPr>
        <w:t>生物制品</w:t>
      </w:r>
      <w:r>
        <w:t>批准证明文件保持一致，发生变更应填写变更后内容。</w:t>
      </w:r>
    </w:p>
    <w:p>
      <w:pPr>
        <w:overflowPunct w:val="0"/>
        <w:spacing w:line="560" w:lineRule="exact"/>
        <w:ind w:firstLine="640"/>
      </w:pPr>
      <w:r>
        <w:t>2.注册分类：按本品种原批准的注册分类属性选择相应的选项。</w:t>
      </w:r>
    </w:p>
    <w:p>
      <w:pPr>
        <w:overflowPunct w:val="0"/>
        <w:spacing w:line="560" w:lineRule="exact"/>
        <w:ind w:firstLine="640"/>
      </w:pPr>
      <w:r>
        <w:t>3.补充申请的内容：应简要填写本次补充申请所变更的各项具体内容，应与申请表第5项申请事项分类保持一致，并涵盖申报资料中所申请的变更内容。</w:t>
      </w:r>
    </w:p>
    <w:p>
      <w:pPr>
        <w:overflowPunct w:val="0"/>
        <w:spacing w:line="560" w:lineRule="exact"/>
        <w:ind w:firstLine="640"/>
      </w:pPr>
      <w:r>
        <w:t>4.本次申请为：填写申报品种本次属于第几次申报。简要说明既往申报及审批情况。如申请人自行撤回或因资料不符合审批要求曾被国家药品监督管理局不予批准等情况。原申请审批结束后，方可再行申报。</w:t>
      </w:r>
    </w:p>
    <w:p>
      <w:pPr>
        <w:overflowPunct w:val="0"/>
        <w:spacing w:line="560" w:lineRule="exact"/>
        <w:ind w:firstLine="640"/>
      </w:pPr>
      <w:r>
        <w:t>5.申请人及委托研究机构</w:t>
      </w:r>
    </w:p>
    <w:p>
      <w:pPr>
        <w:overflowPunct w:val="0"/>
        <w:spacing w:line="560" w:lineRule="exact"/>
        <w:ind w:firstLine="640"/>
      </w:pPr>
      <w:r>
        <w:t>所填报的信息应与证明性文件和申报资料保持一致，并指定其中一个申请机构负责向国家缴纳注册费用（需缴费事项适用）。已经填入的申请人各机构均应当由其法定代表人或接受其授权者（另需提供签字授权书原件）在此签名、加盖机构公章（须与其机构名称完全一致）。</w:t>
      </w:r>
    </w:p>
    <w:p>
      <w:pPr>
        <w:overflowPunct w:val="0"/>
        <w:spacing w:line="560" w:lineRule="exact"/>
        <w:ind w:firstLine="640"/>
        <w:rPr>
          <w:rFonts w:eastAsia="楷体_GB2312"/>
        </w:rPr>
      </w:pPr>
      <w:bookmarkStart w:id="8" w:name="_Toc33798936"/>
      <w:r>
        <w:rPr>
          <w:rFonts w:eastAsia="楷体_GB2312"/>
        </w:rPr>
        <w:t>（三）申报资料审查要点</w:t>
      </w:r>
      <w:bookmarkEnd w:id="8"/>
    </w:p>
    <w:p>
      <w:pPr>
        <w:overflowPunct w:val="0"/>
        <w:spacing w:line="560" w:lineRule="exact"/>
        <w:ind w:firstLine="640"/>
      </w:pPr>
      <w:r>
        <w:t>1.具有有效的</w:t>
      </w:r>
      <w:r>
        <w:rPr>
          <w:rFonts w:hint="eastAsia"/>
          <w:lang w:eastAsia="zh-CN"/>
        </w:rPr>
        <w:t>生物制品</w:t>
      </w:r>
      <w:r>
        <w:t>批准证明文件。</w:t>
      </w:r>
    </w:p>
    <w:p>
      <w:pPr>
        <w:overflowPunct w:val="0"/>
        <w:spacing w:line="560" w:lineRule="exact"/>
        <w:ind w:firstLine="640"/>
      </w:pPr>
      <w:r>
        <w:t>包括</w:t>
      </w:r>
      <w:r>
        <w:rPr>
          <w:rFonts w:hint="eastAsia"/>
          <w:lang w:eastAsia="zh-CN"/>
        </w:rPr>
        <w:t>生物制品</w:t>
      </w:r>
      <w:r>
        <w:t>历来的批准文件，应能够清晰了解该品种完整的历史演变过程和目前状况。如注册证书、补充申请批件、标准修订批件、临床试验通知书等。</w:t>
      </w:r>
    </w:p>
    <w:p>
      <w:pPr>
        <w:overflowPunct w:val="0"/>
        <w:spacing w:line="560" w:lineRule="exact"/>
        <w:ind w:firstLine="640"/>
      </w:pPr>
      <w:r>
        <w:t>2.证明性文件</w:t>
      </w:r>
    </w:p>
    <w:p>
      <w:pPr>
        <w:overflowPunct w:val="0"/>
        <w:spacing w:line="560" w:lineRule="exact"/>
        <w:ind w:firstLine="640"/>
      </w:pPr>
      <w:r>
        <w:t>2.1申请人/生产企业证明性文件</w:t>
      </w:r>
    </w:p>
    <w:p>
      <w:pPr>
        <w:overflowPunct w:val="0"/>
        <w:spacing w:line="560" w:lineRule="exact"/>
        <w:ind w:firstLine="640"/>
      </w:pPr>
      <w:r>
        <w:t>2.1.1申请人及生产企业机构合法登记证明文件（营业执照等）。申请人及生产企业生产许可证及其变更记录页（上市后变更适用）。</w:t>
      </w:r>
    </w:p>
    <w:p>
      <w:pPr>
        <w:overflowPunct w:val="0"/>
        <w:spacing w:line="560" w:lineRule="exact"/>
        <w:ind w:firstLine="640"/>
      </w:pPr>
      <w:r>
        <w:t>2.1.2境外申请人指定中国境内的企业法人办理相关注册事项的，应当提供委托文书、公证文书及其中文译本，以及注册代理机构的营业执照复印件。</w:t>
      </w:r>
    </w:p>
    <w:p>
      <w:pPr>
        <w:overflowPunct w:val="0"/>
        <w:spacing w:line="560" w:lineRule="exact"/>
        <w:ind w:firstLine="640"/>
      </w:pPr>
      <w:r>
        <w:t>2.2允许变更的证明文件</w:t>
      </w:r>
    </w:p>
    <w:p>
      <w:pPr>
        <w:overflowPunct w:val="0"/>
        <w:spacing w:line="560" w:lineRule="exact"/>
        <w:ind w:firstLine="640"/>
      </w:pPr>
      <w:r>
        <w:t>对于境外已上市的境外生产的</w:t>
      </w:r>
      <w:r>
        <w:rPr>
          <w:rFonts w:hint="eastAsia"/>
          <w:lang w:eastAsia="zh-CN"/>
        </w:rPr>
        <w:t>生物制品</w:t>
      </w:r>
      <w:r>
        <w:t>,</w:t>
      </w:r>
      <w:r>
        <w:rPr>
          <w:rFonts w:hint="eastAsia"/>
        </w:rPr>
        <w:t xml:space="preserve"> 可</w:t>
      </w:r>
      <w:r>
        <w:t>提交境外药品管理机构出具的允许</w:t>
      </w:r>
      <w:r>
        <w:rPr>
          <w:rFonts w:hint="eastAsia"/>
          <w:lang w:eastAsia="zh-CN"/>
        </w:rPr>
        <w:t>生物制品</w:t>
      </w:r>
      <w:r>
        <w:t>变更的证明文件、公证认证文书及其中文译文</w:t>
      </w:r>
      <w:r>
        <w:rPr>
          <w:rFonts w:hint="eastAsia"/>
        </w:rPr>
        <w:t>，或提供向所在地药品监管部门备案的证明文件</w:t>
      </w:r>
      <w:r>
        <w:t>。境外药品管理机构不能出具有关证明文件的，可以依据当地法律法规的规定做出说明。</w:t>
      </w:r>
    </w:p>
    <w:p>
      <w:pPr>
        <w:overflowPunct w:val="0"/>
        <w:spacing w:line="560" w:lineRule="exact"/>
        <w:ind w:firstLine="640"/>
      </w:pPr>
      <w:r>
        <w:t>2.3生物制品申请使用商品名的，应提供商标注册证，注册证相关信息应与申报资料保持一致。</w:t>
      </w:r>
    </w:p>
    <w:p>
      <w:pPr>
        <w:overflowPunct w:val="0"/>
        <w:spacing w:line="560" w:lineRule="exact"/>
        <w:ind w:firstLine="640"/>
        <w:rPr>
          <w:color w:val="0000FF"/>
        </w:rPr>
      </w:pPr>
      <w:r>
        <w:rPr>
          <w:color w:val="auto"/>
        </w:rPr>
        <w:t>2.4改变境外生产场地或包装厂的，应提交境外药品管理机构出具的该</w:t>
      </w:r>
      <w:r>
        <w:rPr>
          <w:rFonts w:hint="eastAsia"/>
          <w:color w:val="auto"/>
          <w:lang w:eastAsia="zh-CN"/>
        </w:rPr>
        <w:t>生物制品</w:t>
      </w:r>
      <w:r>
        <w:rPr>
          <w:color w:val="auto"/>
        </w:rPr>
        <w:t>生产厂/包装厂符合药品生产质量管理规范的证明文件。</w:t>
      </w:r>
    </w:p>
    <w:p>
      <w:pPr>
        <w:overflowPunct w:val="0"/>
        <w:spacing w:line="560" w:lineRule="exact"/>
        <w:ind w:firstLine="640"/>
      </w:pPr>
      <w:r>
        <w:t>2.5</w:t>
      </w:r>
      <w:r>
        <w:rPr>
          <w:rFonts w:hint="eastAsia"/>
        </w:rPr>
        <w:t>药用辅料及药包材证明文件（涉及变更时适用）</w:t>
      </w:r>
    </w:p>
    <w:p>
      <w:pPr>
        <w:overflowPunct w:val="0"/>
        <w:spacing w:line="560" w:lineRule="exact"/>
        <w:ind w:firstLine="640"/>
      </w:pPr>
      <w:r>
        <w:rPr>
          <w:rFonts w:hint="eastAsia"/>
        </w:rPr>
        <w:t>2.</w:t>
      </w:r>
      <w:r>
        <w:t>5</w:t>
      </w:r>
      <w:r>
        <w:rPr>
          <w:rFonts w:hint="eastAsia"/>
        </w:rPr>
        <w:t>.1药用辅料及药包材合法来源证明文件，包括供货协议、发票等。</w:t>
      </w:r>
    </w:p>
    <w:p>
      <w:pPr>
        <w:overflowPunct w:val="0"/>
        <w:spacing w:line="560" w:lineRule="exact"/>
        <w:ind w:firstLine="640"/>
      </w:pPr>
      <w:r>
        <w:rPr>
          <w:rFonts w:hint="eastAsia"/>
        </w:rPr>
        <w:t>2.</w:t>
      </w:r>
      <w:r>
        <w:t>5</w:t>
      </w:r>
      <w:r>
        <w:rPr>
          <w:rFonts w:hint="eastAsia"/>
        </w:rPr>
        <w:t>.2制剂选用已登记辅包关联审评时，还应提交药用辅料及药包材使用授权书复印件（如适用）。如为供应商出具，需有药用辅料和药包材企业授权，并附授权信。</w:t>
      </w:r>
    </w:p>
    <w:p>
      <w:pPr>
        <w:overflowPunct w:val="0"/>
        <w:spacing w:line="560" w:lineRule="exact"/>
        <w:ind w:firstLine="640"/>
      </w:pPr>
      <w:r>
        <w:t>2.6申请改变</w:t>
      </w:r>
      <w:r>
        <w:rPr>
          <w:rFonts w:hint="eastAsia"/>
        </w:rPr>
        <w:t>不涉及技术审评的药品批准证明文件载明</w:t>
      </w:r>
      <w:r>
        <w:t>信息的，境外持有人提交其所在国家或地区药品监督管理机构出具的允许变更的证明文件，如CPP证书、批准信或情况说明等；境内持有人提交有关管理机构同意更名的文件复印件，如《营业执照》、《药品生产许可证》及变更记录页。</w:t>
      </w:r>
    </w:p>
    <w:p>
      <w:pPr>
        <w:overflowPunct w:val="0"/>
        <w:spacing w:line="560" w:lineRule="exact"/>
        <w:ind w:firstLine="640"/>
      </w:pPr>
      <w:bookmarkStart w:id="9" w:name="_Toc33798937"/>
      <w:r>
        <w:t>2.7对于国家药品监管部门规定的其他事项变更的，应提交相关规定的文件内容。</w:t>
      </w:r>
    </w:p>
    <w:p>
      <w:pPr>
        <w:overflowPunct w:val="0"/>
        <w:spacing w:line="560" w:lineRule="exact"/>
        <w:ind w:firstLine="640"/>
      </w:pPr>
      <w:r>
        <w:t>2.8境外生产</w:t>
      </w:r>
      <w:r>
        <w:rPr>
          <w:rFonts w:hint="eastAsia"/>
          <w:lang w:eastAsia="zh-CN"/>
        </w:rPr>
        <w:t>生物制品</w:t>
      </w:r>
      <w:r>
        <w:t>注册代理机构发生变更的，应提供境外持有人解除原委托代理注册关系的文书、公证文书及其中文译本。</w:t>
      </w:r>
    </w:p>
    <w:p>
      <w:pPr>
        <w:overflowPunct w:val="0"/>
        <w:spacing w:line="560" w:lineRule="exact"/>
        <w:ind w:firstLine="640"/>
      </w:pPr>
      <w:r>
        <w:t>2.9委托研究相关证明文件</w:t>
      </w:r>
    </w:p>
    <w:p>
      <w:pPr>
        <w:overflowPunct w:val="0"/>
        <w:spacing w:line="560" w:lineRule="exact"/>
        <w:ind w:firstLine="640"/>
      </w:pPr>
      <w: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overflowPunct w:val="0"/>
        <w:spacing w:line="560" w:lineRule="exact"/>
        <w:ind w:firstLine="640"/>
      </w:pPr>
      <w:r>
        <w:t>非临床研究安全性评价机构应提供符合《药物非临床研究质量管理规范》（简称GLP）资质证明，临床试验机构应提供备案证明。</w:t>
      </w:r>
    </w:p>
    <w:bookmarkEnd w:id="9"/>
    <w:p>
      <w:pPr>
        <w:overflowPunct w:val="0"/>
        <w:spacing w:line="560" w:lineRule="exact"/>
        <w:ind w:firstLine="640"/>
      </w:pPr>
      <w:r>
        <w:t>3.修订的</w:t>
      </w:r>
      <w:r>
        <w:rPr>
          <w:rFonts w:hint="eastAsia"/>
          <w:lang w:eastAsia="zh-CN"/>
        </w:rPr>
        <w:t>生物制品</w:t>
      </w:r>
      <w:r>
        <w:t>说明书样稿，并附详细修订说明。</w:t>
      </w:r>
    </w:p>
    <w:p>
      <w:pPr>
        <w:overflowPunct w:val="0"/>
        <w:spacing w:line="560" w:lineRule="exact"/>
        <w:ind w:firstLine="640"/>
      </w:pPr>
      <w:r>
        <w:t>4.修订的</w:t>
      </w:r>
      <w:r>
        <w:rPr>
          <w:rFonts w:hint="eastAsia"/>
          <w:lang w:eastAsia="zh-CN"/>
        </w:rPr>
        <w:t>生物制品</w:t>
      </w:r>
      <w:r>
        <w:t>标签样稿，并附详细修订说明。</w:t>
      </w:r>
    </w:p>
    <w:p>
      <w:pPr>
        <w:overflowPunct w:val="0"/>
        <w:spacing w:line="560" w:lineRule="exact"/>
        <w:ind w:firstLine="640"/>
      </w:pPr>
      <w:r>
        <w:t>5.药学研究资料：</w:t>
      </w:r>
    </w:p>
    <w:p>
      <w:pPr>
        <w:overflowPunct w:val="0"/>
        <w:spacing w:line="560" w:lineRule="exact"/>
        <w:ind w:firstLine="640"/>
      </w:pPr>
      <w:r>
        <w:rPr>
          <w:rFonts w:hint="eastAsia"/>
        </w:rPr>
        <w:t>按照国家药品监管部门公布的生物制品上市后变更研究等相关药学研究技术指导原则开展研究，根据指导原则对相应变更事项的要求，分别提供部分或全部药学研究试验资料和必要的原注册申请相关资料。</w:t>
      </w:r>
      <w:r>
        <w:t>不适用的予以说明。</w:t>
      </w:r>
    </w:p>
    <w:p>
      <w:pPr>
        <w:overflowPunct w:val="0"/>
        <w:spacing w:line="560" w:lineRule="exact"/>
        <w:ind w:firstLine="640"/>
      </w:pPr>
      <w:r>
        <w:t xml:space="preserve">6.药理毒理研究资料： </w:t>
      </w:r>
    </w:p>
    <w:p>
      <w:pPr>
        <w:overflowPunct w:val="0"/>
        <w:spacing w:line="560" w:lineRule="exact"/>
        <w:ind w:firstLine="640"/>
      </w:pPr>
      <w:r>
        <w:t>按照国家药品监督管理部门公布的药理毒理相关技术指导原则开展研究，根据指导原则对相应变更事项的要求，分别提供部分或全部药理毒理研究的试验资料和必要的国内外文献资料。不适用的予以说明。</w:t>
      </w:r>
    </w:p>
    <w:p>
      <w:pPr>
        <w:overflowPunct w:val="0"/>
        <w:spacing w:line="560" w:lineRule="exact"/>
        <w:ind w:firstLine="640"/>
      </w:pPr>
      <w:r>
        <w:t>7.临床试验资料：</w:t>
      </w:r>
    </w:p>
    <w:p>
      <w:pPr>
        <w:overflowPunct w:val="0"/>
        <w:spacing w:line="560" w:lineRule="exact"/>
        <w:ind w:firstLine="640"/>
      </w:pPr>
      <w:r>
        <w:t>按照国家药品监督管理部门公布的《已上市药品临床变更技术指导原则》等指导原则开展研究。要求进行临床试验的，应当按照有关规定和相关技术指导原则开展临床试验。不要求进行临床试验的，可提供有关的临床试验文献。不适用的予以说明。</w:t>
      </w:r>
    </w:p>
    <w:p>
      <w:pPr>
        <w:overflowPunct w:val="0"/>
        <w:spacing w:line="560" w:lineRule="exact"/>
        <w:ind w:firstLine="640"/>
      </w:pPr>
      <w:r>
        <w:t>临床试验报告封面应符合临床试验报告相关指导原则要求，并应加盖临床研究机构有效公章，印章应加盖在文字处。临床试验数据库资料参照相关要求执行。（如适用）</w:t>
      </w:r>
    </w:p>
    <w:p>
      <w:pPr>
        <w:overflowPunct w:val="0"/>
        <w:spacing w:line="560" w:lineRule="exact"/>
        <w:ind w:firstLine="640"/>
      </w:pPr>
      <w:r>
        <w:rPr>
          <w:rFonts w:hint="eastAsia"/>
        </w:rPr>
        <w:t>8.</w:t>
      </w:r>
      <w:r>
        <w:t>申报资料真实性声明</w:t>
      </w:r>
      <w:r>
        <w:rPr>
          <w:rFonts w:hint="eastAsia"/>
        </w:rPr>
        <w:t>：</w:t>
      </w:r>
    </w:p>
    <w:p>
      <w:pPr>
        <w:overflowPunct w:val="0"/>
        <w:spacing w:line="560" w:lineRule="exact"/>
        <w:ind w:firstLine="640"/>
      </w:pPr>
      <w:r>
        <w:t>应由申请人声明对所申报的材料真实性负责，保证申报资料的真实有效。同时，需要法定代表人签字盖章。在中华人民共和国领域外形成的此文件，应经所在国公证机构公证及驻所在国中国使领馆认证。</w:t>
      </w:r>
    </w:p>
    <w:p>
      <w:pPr>
        <w:pStyle w:val="5"/>
        <w:keepNext w:val="0"/>
        <w:keepLines w:val="0"/>
        <w:overflowPunct w:val="0"/>
        <w:spacing w:before="0" w:after="0" w:line="560" w:lineRule="exact"/>
        <w:ind w:firstLine="640"/>
        <w:rPr>
          <w:rFonts w:ascii="Times New Roman" w:hAnsi="Times New Roman" w:eastAsia="楷体_GB2312" w:cs="Times New Roman"/>
          <w:b w:val="0"/>
          <w:bCs w:val="0"/>
          <w:sz w:val="32"/>
          <w:szCs w:val="32"/>
        </w:rPr>
      </w:pPr>
      <w:r>
        <w:rPr>
          <w:rFonts w:ascii="Times New Roman" w:hAnsi="Times New Roman" w:eastAsia="楷体_GB2312" w:cs="Times New Roman"/>
          <w:b w:val="0"/>
          <w:bCs w:val="0"/>
          <w:sz w:val="32"/>
          <w:szCs w:val="32"/>
        </w:rPr>
        <w:t>（四）其他提示</w:t>
      </w:r>
    </w:p>
    <w:p>
      <w:pPr>
        <w:pStyle w:val="5"/>
        <w:keepNext w:val="0"/>
        <w:keepLines w:val="0"/>
        <w:overflowPunct w:val="0"/>
        <w:spacing w:before="0" w:after="0" w:line="560" w:lineRule="exact"/>
        <w:ind w:firstLine="64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1.</w:t>
      </w:r>
      <w:r>
        <w:rPr>
          <w:rFonts w:hint="eastAsia" w:ascii="Times New Roman" w:hAnsi="Times New Roman" w:eastAsia="仿宋_GB2312" w:cs="Times New Roman"/>
          <w:b w:val="0"/>
          <w:bCs w:val="0"/>
          <w:sz w:val="32"/>
          <w:szCs w:val="32"/>
          <w:lang w:eastAsia="zh-CN"/>
        </w:rPr>
        <w:t>生物制品</w:t>
      </w:r>
      <w:r>
        <w:rPr>
          <w:rFonts w:ascii="Times New Roman" w:hAnsi="Times New Roman" w:eastAsia="仿宋_GB2312" w:cs="Times New Roman"/>
          <w:b w:val="0"/>
          <w:bCs w:val="0"/>
          <w:sz w:val="32"/>
          <w:szCs w:val="32"/>
        </w:rPr>
        <w:t>批准证明文件已失效的，相关品种的补充申请不予受理。</w:t>
      </w:r>
    </w:p>
    <w:p>
      <w:pPr>
        <w:pStyle w:val="5"/>
        <w:keepNext w:val="0"/>
        <w:keepLines w:val="0"/>
        <w:overflowPunct w:val="0"/>
        <w:spacing w:before="0" w:after="0" w:line="560" w:lineRule="exact"/>
        <w:ind w:firstLine="64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2.再注册申请尚未完成审批程序前申报补充申请的，申请人应当在《药品补充申请表》中列明相关再注册申请情况，同时提交相关再注册申请的受理通知单复印件。</w:t>
      </w:r>
    </w:p>
    <w:p>
      <w:pPr>
        <w:pStyle w:val="5"/>
        <w:keepNext w:val="0"/>
        <w:keepLines w:val="0"/>
        <w:overflowPunct w:val="0"/>
        <w:spacing w:before="0" w:after="0" w:line="560" w:lineRule="exact"/>
        <w:ind w:firstLine="640"/>
        <w:rPr>
          <w:rFonts w:ascii="Times New Roman" w:hAnsi="Times New Roman" w:eastAsia="仿宋_GB2312" w:cs="Times New Roman"/>
          <w:b w:val="0"/>
          <w:bCs w:val="0"/>
          <w:color w:val="0000FF"/>
          <w:sz w:val="32"/>
          <w:szCs w:val="32"/>
        </w:rPr>
      </w:pPr>
      <w:r>
        <w:rPr>
          <w:rFonts w:ascii="Times New Roman" w:hAnsi="Times New Roman" w:eastAsia="仿宋_GB2312" w:cs="Times New Roman"/>
          <w:b w:val="0"/>
          <w:bCs w:val="0"/>
          <w:sz w:val="32"/>
          <w:szCs w:val="32"/>
        </w:rPr>
        <w:t>3.</w:t>
      </w:r>
      <w:r>
        <w:rPr>
          <w:rFonts w:ascii="Times New Roman" w:hAnsi="Times New Roman" w:eastAsia="仿宋_GB2312" w:cs="Times New Roman"/>
          <w:b w:val="0"/>
          <w:bCs w:val="0"/>
          <w:color w:val="auto"/>
          <w:sz w:val="32"/>
          <w:szCs w:val="32"/>
        </w:rPr>
        <w:t>关于取消证明事项的公告中规定的“改为内部核查”的证明事项，按公告要求执行。</w:t>
      </w:r>
    </w:p>
    <w:p>
      <w:pPr>
        <w:pStyle w:val="5"/>
        <w:keepNext w:val="0"/>
        <w:keepLines w:val="0"/>
        <w:overflowPunct w:val="0"/>
        <w:spacing w:before="0" w:after="0" w:line="560" w:lineRule="exact"/>
        <w:ind w:firstLine="64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4.境外生产的</w:t>
      </w:r>
      <w:r>
        <w:rPr>
          <w:rFonts w:hint="eastAsia" w:ascii="Times New Roman" w:hAnsi="Times New Roman" w:eastAsia="仿宋_GB2312" w:cs="Times New Roman"/>
          <w:b w:val="0"/>
          <w:bCs w:val="0"/>
          <w:sz w:val="32"/>
          <w:szCs w:val="32"/>
          <w:lang w:eastAsia="zh-CN"/>
        </w:rPr>
        <w:t>生物制品</w:t>
      </w:r>
      <w:r>
        <w:rPr>
          <w:rFonts w:ascii="Times New Roman" w:hAnsi="Times New Roman" w:eastAsia="仿宋_GB2312" w:cs="Times New Roman"/>
          <w:b w:val="0"/>
          <w:bCs w:val="0"/>
          <w:sz w:val="32"/>
          <w:szCs w:val="32"/>
        </w:rPr>
        <w:t>所提交的境外药品管理机构出具的证明文件（包括允许上市销售证明文件、符合药品生产质量管理规范证明文件以及允许药品变更证明文件等），为符合世界卫生组织推荐的统一格式原件的，可不经所在国公证机构公证及驻所在国中国使领馆认证。</w:t>
      </w:r>
    </w:p>
    <w:p>
      <w:pPr>
        <w:pStyle w:val="5"/>
        <w:keepNext w:val="0"/>
        <w:keepLines w:val="0"/>
        <w:overflowPunct w:val="0"/>
        <w:spacing w:before="0" w:after="0" w:line="560" w:lineRule="exact"/>
        <w:ind w:firstLine="64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5.符合国务院规定的小微企业，已按规定免收临床试验注册费的创新药，在临床试验期间提出的补充申请时，按要求提交《小型微型企业收费优惠申请表》及小微企业申报资料的，免收注册费。</w:t>
      </w:r>
    </w:p>
    <w:p>
      <w:pPr>
        <w:pStyle w:val="5"/>
        <w:keepNext w:val="0"/>
        <w:keepLines w:val="0"/>
        <w:overflowPunct w:val="0"/>
        <w:spacing w:before="0" w:after="0" w:line="560" w:lineRule="exact"/>
        <w:ind w:firstLine="640"/>
        <w:rPr>
          <w:rFonts w:ascii="Times New Roman" w:hAnsi="Times New Roman" w:eastAsia="仿宋_GB2312" w:cs="Times New Roman"/>
          <w:b w:val="0"/>
          <w:bCs w:val="0"/>
          <w:sz w:val="32"/>
          <w:szCs w:val="32"/>
        </w:rPr>
      </w:pPr>
      <w:r>
        <w:rPr>
          <w:rFonts w:ascii="Times New Roman" w:hAnsi="Times New Roman" w:eastAsia="仿宋_GB2312" w:cs="Times New Roman"/>
          <w:b w:val="0"/>
          <w:bCs w:val="0"/>
          <w:sz w:val="32"/>
          <w:szCs w:val="32"/>
        </w:rPr>
        <w:t>6.申请人应当在三十日内完成补正资料，申请人无正当理由逾期不予补正的，视为放弃申请。</w:t>
      </w:r>
    </w:p>
    <w:p>
      <w:pPr>
        <w:overflowPunct w:val="0"/>
        <w:spacing w:line="560" w:lineRule="exact"/>
        <w:ind w:firstLine="640"/>
      </w:pPr>
      <w:r>
        <w:t>7.检查相关信息（如适用）</w:t>
      </w:r>
    </w:p>
    <w:p>
      <w:pPr>
        <w:overflowPunct w:val="0"/>
        <w:spacing w:line="560" w:lineRule="exact"/>
        <w:ind w:firstLine="640"/>
      </w:pPr>
      <w:r>
        <w:t>根据申请变更事项包括药品研制情况信息表，药品生产情况信息表，现场主文件清单，药品注册临床试验研究信息表，临床试验信息表以及检验报告。</w:t>
      </w:r>
    </w:p>
    <w:p>
      <w:pPr>
        <w:spacing w:line="560" w:lineRule="exact"/>
        <w:ind w:firstLine="640"/>
        <w:rPr>
          <w:rFonts w:eastAsia="黑体"/>
        </w:rPr>
      </w:pPr>
      <w:bookmarkStart w:id="10" w:name="_Toc33798938"/>
      <w:r>
        <w:rPr>
          <w:rFonts w:eastAsia="黑体"/>
        </w:rPr>
        <w:t>五、受理审查决定</w:t>
      </w:r>
      <w:bookmarkEnd w:id="10"/>
    </w:p>
    <w:p>
      <w:pPr>
        <w:overflowPunct w:val="0"/>
        <w:spacing w:line="560" w:lineRule="exact"/>
        <w:ind w:firstLine="640"/>
        <w:outlineLvl w:val="3"/>
        <w:rPr>
          <w:rFonts w:eastAsia="楷体_GB2312"/>
        </w:rPr>
      </w:pPr>
      <w:bookmarkStart w:id="11" w:name="_Toc33798939"/>
      <w:r>
        <w:rPr>
          <w:rFonts w:eastAsia="楷体_GB2312"/>
        </w:rPr>
        <w:t>（一）受理</w:t>
      </w:r>
      <w:bookmarkEnd w:id="11"/>
    </w:p>
    <w:p>
      <w:pPr>
        <w:overflowPunct w:val="0"/>
        <w:spacing w:line="560" w:lineRule="exact"/>
        <w:ind w:firstLine="640"/>
      </w:pPr>
      <w:r>
        <w:t>1．受理通知单：符合形式审查要求的，出具《受理通知书》一式两份，一份给申请人，一份存入资料。</w:t>
      </w:r>
    </w:p>
    <w:p>
      <w:pPr>
        <w:overflowPunct w:val="0"/>
        <w:spacing w:line="560" w:lineRule="exact"/>
        <w:ind w:firstLine="640"/>
      </w:pPr>
      <w:r>
        <w:t>2．缴费通知书：需要缴费，备案事项不需要缴费。</w:t>
      </w:r>
    </w:p>
    <w:p>
      <w:pPr>
        <w:spacing w:line="550" w:lineRule="exact"/>
        <w:ind w:firstLine="640"/>
      </w:pPr>
      <w:bookmarkStart w:id="12" w:name="_Toc33798940"/>
      <w:r>
        <w:t>依照《关于发布药品、医疗器械产品注册收费标准的公告（2015年第53号）》</w:t>
      </w:r>
      <w:r>
        <w:rPr>
          <w:rFonts w:hint="eastAsia"/>
        </w:rPr>
        <w:t>、《</w:t>
      </w:r>
      <w:r>
        <w:t>关于化学药品新注册分类收费标准有关事宜的通告</w:t>
      </w:r>
      <w:r>
        <w:rPr>
          <w:rFonts w:hint="eastAsia"/>
        </w:rPr>
        <w:t>》</w:t>
      </w:r>
      <w:r>
        <w:t>（2016年第124号）</w:t>
      </w:r>
      <w:r>
        <w:rPr>
          <w:rFonts w:hint="eastAsia"/>
        </w:rPr>
        <w:t>及</w:t>
      </w:r>
      <w:r>
        <w:t>《</w:t>
      </w:r>
      <w:r>
        <w:rPr>
          <w:rFonts w:hint="eastAsia"/>
        </w:rPr>
        <w:t>化学</w:t>
      </w:r>
      <w:r>
        <w:t>药品注册分类改革工作方案》</w:t>
      </w:r>
      <w:r>
        <w:rPr>
          <w:rFonts w:hint="eastAsia"/>
        </w:rPr>
        <w:t>政策</w:t>
      </w:r>
      <w:r>
        <w:t>解读</w:t>
      </w:r>
      <w:r>
        <w:rPr>
          <w:rFonts w:hint="eastAsia"/>
        </w:rPr>
        <w:t>（二）</w:t>
      </w:r>
      <w:r>
        <w:t>等文件要求缴费。</w:t>
      </w:r>
    </w:p>
    <w:p>
      <w:pPr>
        <w:overflowPunct w:val="0"/>
        <w:spacing w:line="560" w:lineRule="exact"/>
        <w:ind w:firstLine="640"/>
        <w:outlineLvl w:val="3"/>
        <w:rPr>
          <w:rFonts w:eastAsia="楷体_GB2312"/>
        </w:rPr>
      </w:pPr>
      <w:r>
        <w:rPr>
          <w:rFonts w:eastAsia="楷体_GB2312"/>
        </w:rPr>
        <w:t>（二）补正</w:t>
      </w:r>
      <w:bookmarkEnd w:id="12"/>
    </w:p>
    <w:p>
      <w:pPr>
        <w:overflowPunct w:val="0"/>
        <w:spacing w:line="560" w:lineRule="exact"/>
        <w:ind w:firstLine="640"/>
      </w:pPr>
      <w:r>
        <w:t>申报资料不齐全或者不符合法定形式的，应一次告知申请人需要补正的全部内容，出具《补正通知书》。</w:t>
      </w:r>
    </w:p>
    <w:p>
      <w:pPr>
        <w:overflowPunct w:val="0"/>
        <w:spacing w:line="560" w:lineRule="exact"/>
        <w:ind w:firstLine="640"/>
        <w:outlineLvl w:val="3"/>
        <w:rPr>
          <w:rFonts w:eastAsia="楷体_GB2312"/>
        </w:rPr>
      </w:pPr>
      <w:bookmarkStart w:id="13" w:name="_Toc33798941"/>
      <w:r>
        <w:rPr>
          <w:rFonts w:eastAsia="楷体_GB2312"/>
        </w:rPr>
        <w:t>（三）不予受理</w:t>
      </w:r>
      <w:bookmarkEnd w:id="13"/>
    </w:p>
    <w:p>
      <w:pPr>
        <w:overflowPunct w:val="0"/>
        <w:spacing w:line="560" w:lineRule="exact"/>
        <w:ind w:firstLine="640"/>
      </w:pPr>
      <w:r>
        <w:t>不符合要求的，出具《不予受理通知书》，并说明理由。</w:t>
      </w:r>
    </w:p>
    <w:p>
      <w:pPr>
        <w:overflowPunct w:val="0"/>
        <w:spacing w:line="560" w:lineRule="exact"/>
        <w:ind w:firstLine="640"/>
        <w:outlineLvl w:val="3"/>
        <w:rPr>
          <w:rFonts w:eastAsia="楷体_GB2312"/>
        </w:rPr>
      </w:pPr>
      <w:r>
        <w:rPr>
          <w:rFonts w:eastAsia="楷体_GB2312"/>
        </w:rPr>
        <w:t>（四）受理流程图</w:t>
      </w: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r>
        <mc:AlternateContent>
          <mc:Choice Requires="wps">
            <w:drawing>
              <wp:anchor distT="0" distB="0" distL="114300" distR="114300" simplePos="0" relativeHeight="251660288" behindDoc="0" locked="0" layoutInCell="1" allowOverlap="1">
                <wp:simplePos x="0" y="0"/>
                <wp:positionH relativeFrom="column">
                  <wp:posOffset>521335</wp:posOffset>
                </wp:positionH>
                <wp:positionV relativeFrom="paragraph">
                  <wp:posOffset>46355</wp:posOffset>
                </wp:positionV>
                <wp:extent cx="1382395" cy="614680"/>
                <wp:effectExtent l="7620" t="6350" r="10160" b="7620"/>
                <wp:wrapNone/>
                <wp:docPr id="14" name="矩形 1"/>
                <wp:cNvGraphicFramePr/>
                <a:graphic xmlns:a="http://schemas.openxmlformats.org/drawingml/2006/main">
                  <a:graphicData uri="http://schemas.microsoft.com/office/word/2010/wordprocessingShape">
                    <wps:wsp>
                      <wps:cNvSpPr>
                        <a:spLocks noChangeArrowheads="1"/>
                      </wps:cNvSpPr>
                      <wps:spPr bwMode="auto">
                        <a:xfrm>
                          <a:off x="0" y="0"/>
                          <a:ext cx="1382395" cy="614680"/>
                        </a:xfrm>
                        <a:prstGeom prst="rect">
                          <a:avLst/>
                        </a:prstGeom>
                        <a:solidFill>
                          <a:srgbClr val="FFFFFF"/>
                        </a:solidFill>
                        <a:ln w="6350">
                          <a:solidFill>
                            <a:srgbClr val="000000"/>
                          </a:solidFill>
                          <a:miter lim="800000"/>
                        </a:ln>
                      </wps:spPr>
                      <wps:txbx>
                        <w:txbxContent>
                          <w:p>
                            <w:pPr>
                              <w:spacing w:before="120"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wps:txbx>
                      <wps:bodyPr rot="0" vert="horz" wrap="square" lIns="91440" tIns="45720" rIns="91440" bIns="45720" anchor="ctr" anchorCtr="0" upright="1">
                        <a:noAutofit/>
                      </wps:bodyPr>
                    </wps:wsp>
                  </a:graphicData>
                </a:graphic>
              </wp:anchor>
            </w:drawing>
          </mc:Choice>
          <mc:Fallback>
            <w:pict>
              <v:rect id="矩形 1" o:spid="_x0000_s1026" o:spt="1" style="position:absolute;left:0pt;margin-left:41.05pt;margin-top:3.65pt;height:48.4pt;width:108.85pt;z-index:251660288;v-text-anchor:middle;mso-width-relative:page;mso-height-relative:page;" fillcolor="#FFFFFF" filled="t" stroked="t" coordsize="21600,21600" o:gfxdata="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4sNcAAAAI&#10;AQAADwAAAAAAAAABACAAAAAiAAAAZHJzL2Rvd25yZXYueG1sUEsBAhQAFAAAAAgAh07iQCYP6X0d&#10;AgAALwQAAA4AAAAAAAAAAQAgAAAAJgEAAGRycy9lMm9Eb2MueG1sUEsFBgAAAAAGAAYAWQEAALUF&#10;AAAAAA==&#10;">
                <v:fill on="t" focussize="0,0"/>
                <v:stroke weight="0.5pt" color="#000000" miterlimit="8" joinstyle="miter"/>
                <v:imagedata o:title=""/>
                <o:lock v:ext="edit" aspectratio="f"/>
                <v:textbox>
                  <w:txbxContent>
                    <w:p>
                      <w:pPr>
                        <w:spacing w:before="120" w:line="276" w:lineRule="auto"/>
                        <w:ind w:firstLine="0" w:firstLineChars="0"/>
                        <w:jc w:val="center"/>
                        <w:rPr>
                          <w:rFonts w:ascii="仿宋_GB2312"/>
                          <w:color w:val="000000"/>
                          <w:sz w:val="24"/>
                          <w:szCs w:val="24"/>
                        </w:rPr>
                      </w:pPr>
                      <w:r>
                        <w:rPr>
                          <w:rFonts w:hint="eastAsia" w:ascii="仿宋_GB2312"/>
                          <w:color w:val="000000"/>
                          <w:sz w:val="24"/>
                          <w:szCs w:val="24"/>
                        </w:rPr>
                        <w:t>资料申报</w:t>
                      </w:r>
                    </w:p>
                  </w:txbxContent>
                </v:textbox>
              </v:rect>
            </w:pict>
          </mc:Fallback>
        </mc:AlternateContent>
      </w:r>
    </w:p>
    <w:p>
      <w:pPr>
        <w:ind w:firstLine="640"/>
        <w:rPr>
          <w:rFonts w:ascii="黑体" w:hAnsi="黑体" w:eastAsia="黑体" w:cs="仿宋_GB2312"/>
          <w:color w:val="000000"/>
        </w:rPr>
      </w:pPr>
      <w:r>
        <mc:AlternateContent>
          <mc:Choice Requires="wps">
            <w:drawing>
              <wp:anchor distT="0" distB="0" distL="114300" distR="114300" simplePos="0" relativeHeight="251662336" behindDoc="0" locked="0" layoutInCell="1" allowOverlap="1">
                <wp:simplePos x="0" y="0"/>
                <wp:positionH relativeFrom="column">
                  <wp:posOffset>1224915</wp:posOffset>
                </wp:positionH>
                <wp:positionV relativeFrom="paragraph">
                  <wp:posOffset>272415</wp:posOffset>
                </wp:positionV>
                <wp:extent cx="0" cy="455295"/>
                <wp:effectExtent l="82550" t="17780" r="79375" b="22225"/>
                <wp:wrapNone/>
                <wp:docPr id="15" name="直接箭头连接符 5"/>
                <wp:cNvGraphicFramePr/>
                <a:graphic xmlns:a="http://schemas.openxmlformats.org/drawingml/2006/main">
                  <a:graphicData uri="http://schemas.microsoft.com/office/word/2010/wordprocessingShape">
                    <wps:wsp>
                      <wps:cNvCnPr>
                        <a:cxnSpLocks noChangeShapeType="1"/>
                      </wps:cNvCnPr>
                      <wps:spPr bwMode="auto">
                        <a:xfrm flipH="1">
                          <a:off x="0" y="0"/>
                          <a:ext cx="0" cy="45529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5" o:spid="_x0000_s1026" o:spt="32" type="#_x0000_t32" style="position:absolute;left:0pt;flip:x;margin-left:96.45pt;margin-top:21.45pt;height:35.85pt;width:0pt;z-index:251662336;mso-width-relative:page;mso-height-relative:page;" filled="f" stroked="t" coordsize="21600,21600" o:gfxdata="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1ITmfVAAAACgEAAA8AAAAAAAAAAQAgAAAAIgAAAGRycy9kb3ducmV2LnhtbFBLAQIU&#10;ABQAAAAIAIdO4kAsYbSf9gEAAKYDAAAOAAAAAAAAAAEAIAAAACQBAABkcnMvZTJvRG9jLnhtbFBL&#10;BQYAAAAABgAGAFkBAACMBQAAAAA=&#10;">
                <v:fill on="f" focussize="0,0"/>
                <v:stroke weight="1.5pt" color="#000000" joinstyle="round" endarrow="open"/>
                <v:imagedata o:title=""/>
                <o:lock v:ext="edit" aspectratio="f"/>
              </v:shape>
            </w:pict>
          </mc:Fallback>
        </mc:AlternateContent>
      </w:r>
    </w:p>
    <w:p>
      <w:pPr>
        <w:ind w:firstLine="640"/>
        <w:rPr>
          <w:color w:val="000000"/>
        </w:rPr>
      </w:pPr>
      <w:r>
        <mc:AlternateContent>
          <mc:Choice Requires="wps">
            <w:drawing>
              <wp:anchor distT="0" distB="0" distL="114300" distR="114300" simplePos="0" relativeHeight="251661312" behindDoc="0" locked="0" layoutInCell="1" allowOverlap="1">
                <wp:simplePos x="0" y="0"/>
                <wp:positionH relativeFrom="column">
                  <wp:posOffset>-125095</wp:posOffset>
                </wp:positionH>
                <wp:positionV relativeFrom="paragraph">
                  <wp:posOffset>308610</wp:posOffset>
                </wp:positionV>
                <wp:extent cx="2703195" cy="1284605"/>
                <wp:effectExtent l="18415" t="11430" r="21590" b="18415"/>
                <wp:wrapNone/>
                <wp:docPr id="16" name="流程图: 决策 3"/>
                <wp:cNvGraphicFramePr/>
                <a:graphic xmlns:a="http://schemas.openxmlformats.org/drawingml/2006/main">
                  <a:graphicData uri="http://schemas.microsoft.com/office/word/2010/wordprocessingShape">
                    <wps:wsp>
                      <wps:cNvSpPr>
                        <a:spLocks noChangeArrowheads="1"/>
                      </wps:cNvSpPr>
                      <wps:spPr bwMode="auto">
                        <a:xfrm>
                          <a:off x="0" y="0"/>
                          <a:ext cx="2703195" cy="1284605"/>
                        </a:xfrm>
                        <a:prstGeom prst="flowChartDecision">
                          <a:avLst/>
                        </a:prstGeom>
                        <a:solidFill>
                          <a:srgbClr val="FFFFFF"/>
                        </a:solidFill>
                        <a:ln w="6350">
                          <a:solidFill>
                            <a:srgbClr val="000000"/>
                          </a:solidFill>
                          <a:miter lim="800000"/>
                        </a:ln>
                      </wps:spPr>
                      <wps:txbx>
                        <w:txbxContent>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z w:val="24"/>
                                <w:szCs w:val="24"/>
                              </w:rPr>
                              <w:t>国家局药审中心</w:t>
                            </w:r>
                          </w:p>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napToGrid w:val="0"/>
                                <w:color w:val="000000"/>
                                <w:sz w:val="24"/>
                                <w:szCs w:val="24"/>
                              </w:rPr>
                              <w:t>签收资料并进行形式审查</w:t>
                            </w:r>
                          </w:p>
                        </w:txbxContent>
                      </wps:txbx>
                      <wps:bodyPr rot="0" vert="horz" wrap="square" lIns="91440" tIns="45720" rIns="91440" bIns="45720" anchor="ctr" anchorCtr="0" upright="1">
                        <a:noAutofit/>
                      </wps:bodyPr>
                    </wps:wsp>
                  </a:graphicData>
                </a:graphic>
              </wp:anchor>
            </w:drawing>
          </mc:Choice>
          <mc:Fallback>
            <w:pict>
              <v:shape id="流程图: 决策 3" o:spid="_x0000_s1026" o:spt="110" type="#_x0000_t110" style="position:absolute;left:0pt;margin-left:-9.85pt;margin-top:24.3pt;height:101.15pt;width:212.85pt;z-index:251661312;v-text-anchor:middle;mso-width-relative:page;mso-height-relative:page;" fillcolor="#FFFFFF" filled="t" stroked="t" coordsize="21600,21600" o:gfxdata="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&#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n0y22wAAAAoBAAAPAAAAAAAAAAEAIAAAACIAAABk&#10;cnMvZG93bnJldi54bWxQSwECFAAUAAAACACHTuJAFPVDITwCAABIBAAADgAAAAAAAAABACAAAAAq&#10;AQAAZHJzL2Uyb0RvYy54bWxQSwUGAAAAAAYABgBZAQAA2AUAAAAA&#10;">
                <v:fill on="t" focussize="0,0"/>
                <v:stroke weight="0.5pt" color="#000000" miterlimit="8" joinstyle="miter"/>
                <v:imagedata o:title=""/>
                <o:lock v:ext="edit" aspectratio="f"/>
                <v:textbox>
                  <w:txbxContent>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z w:val="24"/>
                          <w:szCs w:val="24"/>
                        </w:rPr>
                        <w:t>国家局药审中心</w:t>
                      </w:r>
                    </w:p>
                    <w:p>
                      <w:pPr>
                        <w:adjustRightInd w:val="0"/>
                        <w:snapToGrid w:val="0"/>
                        <w:spacing w:line="240" w:lineRule="auto"/>
                        <w:ind w:left="-211" w:leftChars="-66" w:right="-144" w:rightChars="-45" w:firstLine="120" w:firstLineChars="50"/>
                        <w:jc w:val="center"/>
                        <w:rPr>
                          <w:rFonts w:ascii="仿宋_GB2312"/>
                          <w:sz w:val="24"/>
                          <w:szCs w:val="24"/>
                        </w:rPr>
                      </w:pPr>
                      <w:r>
                        <w:rPr>
                          <w:rFonts w:hint="eastAsia" w:ascii="仿宋_GB2312"/>
                          <w:snapToGrid w:val="0"/>
                          <w:color w:val="000000"/>
                          <w:sz w:val="24"/>
                          <w:szCs w:val="24"/>
                        </w:rPr>
                        <w:t>签收资料并进行形式审查</w:t>
                      </w:r>
                    </w:p>
                  </w:txbxContent>
                </v:textbox>
              </v:shape>
            </w:pict>
          </mc:Fallback>
        </mc:AlternateContent>
      </w:r>
    </w:p>
    <w:p>
      <w:pPr>
        <w:ind w:firstLine="0" w:firstLineChars="0"/>
        <w:rPr>
          <w:color w:val="000000"/>
        </w:rPr>
      </w:pPr>
      <w:r>
        <mc:AlternateContent>
          <mc:Choice Requires="wps">
            <w:drawing>
              <wp:anchor distT="0" distB="0" distL="114300" distR="114300" simplePos="0" relativeHeight="251668480" behindDoc="0" locked="0" layoutInCell="1" allowOverlap="1">
                <wp:simplePos x="0" y="0"/>
                <wp:positionH relativeFrom="column">
                  <wp:posOffset>2574925</wp:posOffset>
                </wp:positionH>
                <wp:positionV relativeFrom="paragraph">
                  <wp:posOffset>123190</wp:posOffset>
                </wp:positionV>
                <wp:extent cx="1056640" cy="335280"/>
                <wp:effectExtent l="13335" t="20955" r="15875" b="15240"/>
                <wp:wrapNone/>
                <wp:docPr id="17" name="矩形 12"/>
                <wp:cNvGraphicFramePr/>
                <a:graphic xmlns:a="http://schemas.openxmlformats.org/drawingml/2006/main">
                  <a:graphicData uri="http://schemas.microsoft.com/office/word/2010/wordprocessingShape">
                    <wps:wsp>
                      <wps:cNvSpPr>
                        <a:spLocks noChangeArrowheads="1"/>
                      </wps:cNvSpPr>
                      <wps:spPr bwMode="auto">
                        <a:xfrm>
                          <a:off x="0" y="0"/>
                          <a:ext cx="1056640" cy="335280"/>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a:graphicData>
                </a:graphic>
              </wp:anchor>
            </w:drawing>
          </mc:Choice>
          <mc:Fallback>
            <w:pict>
              <v:rect id="矩形 12" o:spid="_x0000_s1026" o:spt="1" style="position:absolute;left:0pt;margin-left:202.75pt;margin-top:9.7pt;height:26.4pt;width:83.2pt;z-index:251668480;v-text-anchor:middle;mso-width-relative:page;mso-height-relative:page;" fillcolor="#FFFFFF" filled="t" stroked="t" coordsize="21600,21600" o:gfxdata="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9i6kdkA&#10;AAAJAQAADwAAAAAAAAABACAAAAAiAAAAZHJzL2Rvd25yZXYueG1sUEsBAhQAFAAAAAgAh07iQA0m&#10;ASIeAgAAMQQAAA4AAAAAAAAAAQAgAAAAKAEAAGRycy9lMm9Eb2MueG1sUEsFBgAAAAAGAAYAWQEA&#10;ALgFA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3641090</wp:posOffset>
                </wp:positionH>
                <wp:positionV relativeFrom="paragraph">
                  <wp:posOffset>13970</wp:posOffset>
                </wp:positionV>
                <wp:extent cx="1565275" cy="1024255"/>
                <wp:effectExtent l="12700" t="6985" r="12700" b="6985"/>
                <wp:wrapNone/>
                <wp:docPr id="18" name="矩形 13"/>
                <wp:cNvGraphicFramePr/>
                <a:graphic xmlns:a="http://schemas.openxmlformats.org/drawingml/2006/main">
                  <a:graphicData uri="http://schemas.microsoft.com/office/word/2010/wordprocessingShape">
                    <wps:wsp>
                      <wps:cNvSpPr>
                        <a:spLocks noChangeArrowheads="1"/>
                      </wps:cNvSpPr>
                      <wps:spPr bwMode="auto">
                        <a:xfrm>
                          <a:off x="0" y="0"/>
                          <a:ext cx="1565275" cy="1024255"/>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a:graphicData>
                </a:graphic>
              </wp:anchor>
            </w:drawing>
          </mc:Choice>
          <mc:Fallback>
            <w:pict>
              <v:rect id="矩形 13" o:spid="_x0000_s1026" o:spt="1" style="position:absolute;left:0pt;margin-left:286.7pt;margin-top:1.1pt;height:80.65pt;width:123.25pt;z-index:251669504;v-text-anchor:middle;mso-width-relative:page;mso-height-relative:page;" fillcolor="#FFFFFF" filled="t" stroked="t" coordsize="21600,21600" o:gfxdata="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KuERm&#10;2gAAAAkBAAAPAAAAAAAAAAEAIAAAACIAAABkcnMvZG93bnJldi54bWxQSwECFAAUAAAACACHTuJA&#10;JVcZix8CAAAxBAAADgAAAAAAAAABACAAAAApAQAAZHJzL2Uyb0RvYy54bWxQSwUGAAAAAAYABgBZ&#10;AQAAugU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w:pict>
          </mc:Fallback>
        </mc:AlternateContent>
      </w:r>
    </w:p>
    <w:p>
      <w:pPr>
        <w:ind w:firstLine="640"/>
        <w:rPr>
          <w:color w:val="000000"/>
        </w:rPr>
      </w:pPr>
      <w:r>
        <mc:AlternateContent>
          <mc:Choice Requires="wps">
            <w:drawing>
              <wp:anchor distT="0" distB="0" distL="114300" distR="114300" simplePos="0" relativeHeight="251667456" behindDoc="0" locked="0" layoutInCell="1" allowOverlap="1">
                <wp:simplePos x="0" y="0"/>
                <wp:positionH relativeFrom="column">
                  <wp:posOffset>2574925</wp:posOffset>
                </wp:positionH>
                <wp:positionV relativeFrom="paragraph">
                  <wp:posOffset>157480</wp:posOffset>
                </wp:positionV>
                <wp:extent cx="1056640" cy="0"/>
                <wp:effectExtent l="0" t="76200" r="10160" b="114300"/>
                <wp:wrapNone/>
                <wp:docPr id="19"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1056640" cy="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11" o:spid="_x0000_s1026" o:spt="32" type="#_x0000_t32" style="position:absolute;left:0pt;margin-left:202.75pt;margin-top:12.4pt;height:0pt;width:83.2pt;z-index:251667456;mso-width-relative:page;mso-height-relative:page;" filled="f" stroked="t" coordsize="21600,21600" o:gfxdata="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yb97jYAAAACQEAAA8AAAAAAAAAAQAgAAAAIgAAAGRycy9kb3ducmV2LnhtbFBLAQIUABQA&#10;AAAIAIdO4kBnPgmU8AEAAJ4DAAAOAAAAAAAAAAEAIAAAACcBAABkcnMvZTJvRG9jLnhtbFBLBQYA&#10;AAAABgAGAFkBAACJBQAAAAA=&#10;">
                <v:fill on="f" focussize="0,0"/>
                <v:stroke weight="1.5pt" color="#000000" joinstyle="round" endarrow="open"/>
                <v:imagedata o:title=""/>
                <o:lock v:ext="edit" aspectratio="f"/>
              </v:shape>
            </w:pict>
          </mc:Fallback>
        </mc:AlternateContent>
      </w:r>
    </w:p>
    <w:p>
      <w:pPr>
        <w:ind w:firstLine="640"/>
        <w:rPr>
          <w:color w:val="000000"/>
        </w:rPr>
      </w:pPr>
    </w:p>
    <w:p>
      <w:pPr>
        <w:ind w:firstLine="640"/>
        <w:rPr>
          <w:color w:val="000000"/>
        </w:rPr>
      </w:pPr>
      <w: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80010</wp:posOffset>
                </wp:positionV>
                <wp:extent cx="914400" cy="495300"/>
                <wp:effectExtent l="0" t="0" r="19050" b="19050"/>
                <wp:wrapNone/>
                <wp:docPr id="21" name="矩形 7"/>
                <wp:cNvGraphicFramePr/>
                <a:graphic xmlns:a="http://schemas.openxmlformats.org/drawingml/2006/main">
                  <a:graphicData uri="http://schemas.microsoft.com/office/word/2010/wordprocessingShape">
                    <wps:wsp>
                      <wps:cNvSpPr>
                        <a:spLocks noChangeArrowheads="1"/>
                      </wps:cNvSpPr>
                      <wps:spPr bwMode="auto">
                        <a:xfrm>
                          <a:off x="0" y="0"/>
                          <a:ext cx="914400" cy="495300"/>
                        </a:xfrm>
                        <a:prstGeom prst="rect">
                          <a:avLst/>
                        </a:prstGeom>
                        <a:solidFill>
                          <a:srgbClr val="FFFFFF"/>
                        </a:solidFill>
                        <a:ln w="25400">
                          <a:solidFill>
                            <a:srgbClr val="FFFFFF"/>
                          </a:solidFill>
                          <a:miter lim="800000"/>
                        </a:ln>
                      </wps:spPr>
                      <wps:txbx>
                        <w:txbxContent>
                          <w:p>
                            <w:pPr>
                              <w:spacing w:line="240" w:lineRule="atLeast"/>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a:graphicData>
                </a:graphic>
              </wp:anchor>
            </w:drawing>
          </mc:Choice>
          <mc:Fallback>
            <w:pict>
              <v:rect id="矩形 7" o:spid="_x0000_s1026" o:spt="1" style="position:absolute;left:0pt;margin-left:97.5pt;margin-top:6.3pt;height:39pt;width:72pt;z-index:251663360;v-text-anchor:middle;mso-width-relative:page;mso-height-relative:page;" fillcolor="#FFFFFF" filled="t" stroked="t" coordsize="21600,21600" o:gfxdata="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ktCsvZAAAACQEAAA8AAAAA&#10;AAAAAQAgAAAAIgAAAGRycy9kb3ducmV2LnhtbFBLAQIUABQAAAAIAIdO4kAz3GYaEwIAAC8EAAAO&#10;AAAAAAAAAAEAIAAAACgBAABkcnMvZTJvRG9jLnhtbFBLBQYAAAAABgAGAFkBAACtBQAAAAA=&#10;">
                <v:fill on="t" focussize="0,0"/>
                <v:stroke weight="2pt" color="#FFFFFF" miterlimit="8" joinstyle="miter"/>
                <v:imagedata o:title=""/>
                <o:lock v:ext="edit" aspectratio="f"/>
                <v:textbox>
                  <w:txbxContent>
                    <w:p>
                      <w:pPr>
                        <w:spacing w:line="240" w:lineRule="atLeast"/>
                        <w:ind w:firstLine="0" w:firstLineChars="0"/>
                        <w:jc w:val="center"/>
                        <w:rPr>
                          <w:rFonts w:ascii="仿宋_GB2312"/>
                          <w:sz w:val="24"/>
                          <w:szCs w:val="24"/>
                        </w:rPr>
                      </w:pPr>
                      <w:r>
                        <w:rPr>
                          <w:rFonts w:hint="eastAsia" w:ascii="仿宋_GB2312"/>
                          <w:sz w:val="24"/>
                          <w:szCs w:val="24"/>
                        </w:rPr>
                        <w:t>符合要求</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1236345</wp:posOffset>
                </wp:positionH>
                <wp:positionV relativeFrom="paragraph">
                  <wp:posOffset>8255</wp:posOffset>
                </wp:positionV>
                <wp:extent cx="0" cy="705485"/>
                <wp:effectExtent l="84455" t="15875" r="77470" b="21590"/>
                <wp:wrapNone/>
                <wp:docPr id="20" name="AutoShape 14"/>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AutoShape 14" o:spid="_x0000_s1026" o:spt="32" type="#_x0000_t32" style="position:absolute;left:0pt;flip:x;margin-left:97.35pt;margin-top:0.65pt;height:55.55pt;width:0pt;z-index:251671552;mso-width-relative:page;mso-height-relative:page;" filled="f" stroked="t" coordsize="21600,21600" o:gfxdata="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8fE/odQAAAAJAQAADwAAAAAAAAABACAA&#10;AAAiAAAAZHJzL2Rvd25yZXYueG1sUEsBAhQAFAAAAAgAh07iQGBTbhTYAQAAmwMAAA4AAAAAAAAA&#10;AQAgAAAAIwEAAGRycy9lMm9Eb2MueG1sUEsFBgAAAAAGAAYAWQEAAG0FAAAAAA==&#10;">
                <v:fill on="f" focussize="0,0"/>
                <v:stroke weight="1.5pt" color="#000000" joinstyle="round" endarrow="open"/>
                <v:imagedata o:title=""/>
                <o:lock v:ext="edit" aspectratio="f"/>
              </v:shape>
            </w:pict>
          </mc:Fallback>
        </mc:AlternateContent>
      </w:r>
    </w:p>
    <w:p>
      <w:pPr>
        <w:ind w:firstLine="640"/>
        <w:rPr>
          <w:color w:val="000000"/>
        </w:rPr>
      </w:pPr>
      <w:r>
        <mc:AlternateContent>
          <mc:Choice Requires="wps">
            <w:drawing>
              <wp:anchor distT="0" distB="0" distL="114300" distR="114300" simplePos="0" relativeHeight="251664384" behindDoc="0" locked="0" layoutInCell="1" allowOverlap="1">
                <wp:simplePos x="0" y="0"/>
                <wp:positionH relativeFrom="column">
                  <wp:posOffset>248920</wp:posOffset>
                </wp:positionH>
                <wp:positionV relativeFrom="paragraph">
                  <wp:posOffset>325120</wp:posOffset>
                </wp:positionV>
                <wp:extent cx="1981835" cy="835660"/>
                <wp:effectExtent l="11430" t="13335" r="6985" b="8255"/>
                <wp:wrapNone/>
                <wp:docPr id="22" name="矩形 8"/>
                <wp:cNvGraphicFramePr/>
                <a:graphic xmlns:a="http://schemas.openxmlformats.org/drawingml/2006/main">
                  <a:graphicData uri="http://schemas.microsoft.com/office/word/2010/wordprocessingShape">
                    <wps:wsp>
                      <wps:cNvSpPr>
                        <a:spLocks noChangeArrowheads="1"/>
                      </wps:cNvSpPr>
                      <wps:spPr bwMode="auto">
                        <a:xfrm>
                          <a:off x="0" y="0"/>
                          <a:ext cx="1981835" cy="835660"/>
                        </a:xfrm>
                        <a:prstGeom prst="rect">
                          <a:avLst/>
                        </a:prstGeom>
                        <a:solidFill>
                          <a:srgbClr val="FFFFFF"/>
                        </a:solidFill>
                        <a:ln w="6350">
                          <a:solidFill>
                            <a:srgbClr val="000000"/>
                          </a:solidFill>
                          <a:miter lim="800000"/>
                        </a:ln>
                      </wps:spPr>
                      <wps:txbx>
                        <w:txbxContent>
                          <w:p>
                            <w:pPr>
                              <w:spacing w:line="240" w:lineRule="auto"/>
                              <w:ind w:firstLine="0" w:firstLineChars="0"/>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a:graphicData>
                </a:graphic>
              </wp:anchor>
            </w:drawing>
          </mc:Choice>
          <mc:Fallback>
            <w:pict>
              <v:rect id="矩形 8" o:spid="_x0000_s1026" o:spt="1" style="position:absolute;left:0pt;margin-left:19.6pt;margin-top:25.6pt;height:65.8pt;width:156.05pt;z-index:251664384;v-text-anchor:middle;mso-width-relative:page;mso-height-relative:page;" fillcolor="#FFFFFF" filled="t" stroked="t" coordsize="21600,21600" o:gfxdata="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uEbgjYAAAA&#10;CQEAAA8AAAAAAAAAAQAgAAAAIgAAAGRycy9kb3ducmV2LnhtbFBLAQIUABQAAAAIAIdO4kDkdzPQ&#10;HQIAAC8EAAAOAAAAAAAAAAEAIAAAACcBAABkcnMvZTJvRG9jLnhtbFBLBQYAAAAABgAGAFkBAAC2&#10;BQAAAAA=&#10;">
                <v:fill on="t" focussize="0,0"/>
                <v:stroke weight="0.5pt" color="#000000" miterlimit="8" joinstyle="miter"/>
                <v:imagedata o:title=""/>
                <o:lock v:ext="edit" aspectratio="f"/>
                <v:textbox>
                  <w:txbxContent>
                    <w:p>
                      <w:pPr>
                        <w:spacing w:line="240" w:lineRule="auto"/>
                        <w:ind w:firstLine="0" w:firstLineChars="0"/>
                        <w:rPr>
                          <w:rFonts w:ascii="仿宋_GB2312"/>
                          <w:sz w:val="24"/>
                          <w:szCs w:val="24"/>
                        </w:rPr>
                      </w:pPr>
                      <w:r>
                        <w:rPr>
                          <w:rFonts w:hint="eastAsia" w:ascii="仿宋_GB2312"/>
                          <w:sz w:val="24"/>
                          <w:szCs w:val="24"/>
                        </w:rPr>
                        <w:t>国家局药审中心出具《受理通知书》、《缴费通知书》等</w:t>
                      </w:r>
                    </w:p>
                  </w:txbxContent>
                </v:textbox>
              </v:rect>
            </w:pict>
          </mc:Fallback>
        </mc:AlternateContent>
      </w:r>
    </w:p>
    <w:p>
      <w:pPr>
        <w:ind w:firstLine="640"/>
        <w:rPr>
          <w:color w:val="000000"/>
        </w:rPr>
      </w:pPr>
    </w:p>
    <w:p>
      <w:pPr>
        <w:ind w:firstLine="640"/>
        <w:rPr>
          <w:color w:val="000000"/>
        </w:rPr>
      </w:pPr>
      <w:r>
        <mc:AlternateContent>
          <mc:Choice Requires="wps">
            <w:drawing>
              <wp:anchor distT="0" distB="0" distL="114300" distR="114300" simplePos="0" relativeHeight="251665408" behindDoc="0" locked="0" layoutInCell="1" allowOverlap="1">
                <wp:simplePos x="0" y="0"/>
                <wp:positionH relativeFrom="column">
                  <wp:posOffset>1236345</wp:posOffset>
                </wp:positionH>
                <wp:positionV relativeFrom="paragraph">
                  <wp:posOffset>388620</wp:posOffset>
                </wp:positionV>
                <wp:extent cx="0" cy="705485"/>
                <wp:effectExtent l="95250" t="0" r="114300" b="56515"/>
                <wp:wrapNone/>
                <wp:docPr id="23" name="直接箭头连接符 9"/>
                <wp:cNvGraphicFramePr/>
                <a:graphic xmlns:a="http://schemas.openxmlformats.org/drawingml/2006/main">
                  <a:graphicData uri="http://schemas.microsoft.com/office/word/2010/wordprocessingShape">
                    <wps:wsp>
                      <wps:cNvCnPr>
                        <a:cxnSpLocks noChangeShapeType="1"/>
                      </wps:cNvCnPr>
                      <wps:spPr bwMode="auto">
                        <a:xfrm flipH="1">
                          <a:off x="0" y="0"/>
                          <a:ext cx="0" cy="705485"/>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9" o:spid="_x0000_s1026" o:spt="32" type="#_x0000_t32" style="position:absolute;left:0pt;flip:x;margin-left:97.35pt;margin-top:30.6pt;height:55.55pt;width:0pt;z-index:251665408;mso-width-relative:page;mso-height-relative:page;" filled="f" stroked="t" coordsize="21600,21600" o:gfxdata="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th0hXNcAAAAKAQAADwAAAAAAAAABACAAAAAiAAAAZHJzL2Rvd25yZXYueG1sUEsB&#10;AhQAFAAAAAgAh07iQLWkjfj2AQAApgMAAA4AAAAAAAAAAQAgAAAAJgEAAGRycy9lMm9Eb2MueG1s&#10;UEsFBgAAAAAGAAYAWQEAAI4FAAAAAA==&#10;">
                <v:fill on="f" focussize="0,0"/>
                <v:stroke weight="1.5pt" color="#000000" joinstyle="round" endarrow="open"/>
                <v:imagedata o:title=""/>
                <o:lock v:ext="edit" aspectratio="f"/>
              </v:shape>
            </w:pict>
          </mc:Fallback>
        </mc:AlternateContent>
      </w:r>
    </w:p>
    <w:p>
      <w:pPr>
        <w:ind w:firstLine="640"/>
        <w:rPr>
          <w:color w:val="000000"/>
        </w:rPr>
      </w:pPr>
    </w:p>
    <w:p>
      <w:pPr>
        <w:overflowPunct w:val="0"/>
        <w:spacing w:line="560" w:lineRule="exact"/>
        <w:ind w:firstLine="0" w:firstLineChars="0"/>
      </w:pPr>
      <w:r>
        <mc:AlternateContent>
          <mc:Choice Requires="wps">
            <w:drawing>
              <wp:anchor distT="0" distB="0" distL="114300" distR="114300" simplePos="0" relativeHeight="251670528" behindDoc="0" locked="0" layoutInCell="1" allowOverlap="1">
                <wp:simplePos x="0" y="0"/>
                <wp:positionH relativeFrom="column">
                  <wp:posOffset>428625</wp:posOffset>
                </wp:positionH>
                <wp:positionV relativeFrom="paragraph">
                  <wp:posOffset>311785</wp:posOffset>
                </wp:positionV>
                <wp:extent cx="1771650" cy="683260"/>
                <wp:effectExtent l="0" t="0" r="19050" b="21590"/>
                <wp:wrapNone/>
                <wp:docPr id="25" name="流程图: 可选过程 14"/>
                <wp:cNvGraphicFramePr/>
                <a:graphic xmlns:a="http://schemas.openxmlformats.org/drawingml/2006/main">
                  <a:graphicData uri="http://schemas.microsoft.com/office/word/2010/wordprocessingShape">
                    <wps:wsp>
                      <wps:cNvSpPr>
                        <a:spLocks noChangeArrowheads="1"/>
                      </wps:cNvSpPr>
                      <wps:spPr bwMode="auto">
                        <a:xfrm>
                          <a:off x="0" y="0"/>
                          <a:ext cx="1771650" cy="683260"/>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国家局药审中心技术</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审评</w:t>
                            </w:r>
                            <w:r>
                              <w:rPr>
                                <w:rFonts w:ascii="仿宋_GB2312"/>
                                <w:sz w:val="24"/>
                                <w:szCs w:val="24"/>
                              </w:rPr>
                              <w:t>审批及备案</w:t>
                            </w:r>
                          </w:p>
                          <w:p>
                            <w:pPr>
                              <w:adjustRightInd w:val="0"/>
                              <w:snapToGrid w:val="0"/>
                              <w:spacing w:line="240" w:lineRule="auto"/>
                              <w:ind w:firstLine="0" w:firstLineChars="0"/>
                              <w:jc w:val="center"/>
                              <w:rPr>
                                <w:rFonts w:ascii="仿宋_GB2312"/>
                                <w:sz w:val="24"/>
                                <w:szCs w:val="24"/>
                              </w:rPr>
                            </w:pPr>
                          </w:p>
                        </w:txbxContent>
                      </wps:txbx>
                      <wps:bodyPr rot="0" vert="horz" wrap="square" lIns="91440" tIns="45720" rIns="91440" bIns="45720" anchor="ctr" anchorCtr="0" upright="1">
                        <a:noAutofit/>
                      </wps:bodyPr>
                    </wps:wsp>
                  </a:graphicData>
                </a:graphic>
              </wp:anchor>
            </w:drawing>
          </mc:Choice>
          <mc:Fallback>
            <w:pict>
              <v:shape id="流程图: 可选过程 14" o:spid="_x0000_s1026" o:spt="176" type="#_x0000_t176" style="position:absolute;left:0pt;margin-left:33.75pt;margin-top:24.55pt;height:53.8pt;width:139.5pt;z-index:251670528;v-text-anchor:middle;mso-width-relative:page;mso-height-relative:page;" fillcolor="#FFFFFF" filled="t" stroked="t" coordsize="21600,21600" o:gfxdata="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ar+8GtoAAAAJAQAADwAAAAAAAAABACAA&#10;AAAiAAAAZHJzL2Rvd25yZXYueG1sUEsBAhQAFAAAAAgAh07iQI+5XzpEAgAAVgQAAA4AAAAAAAAA&#10;AQAgAAAAKQEAAGRycy9lMm9Eb2MueG1sUEsFBgAAAAAGAAYAWQEAAN8FA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国家局药审中心技术</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审评</w:t>
                      </w:r>
                      <w:r>
                        <w:rPr>
                          <w:rFonts w:ascii="仿宋_GB2312"/>
                          <w:sz w:val="24"/>
                          <w:szCs w:val="24"/>
                        </w:rPr>
                        <w:t>审批及备案</w:t>
                      </w:r>
                    </w:p>
                    <w:p>
                      <w:pPr>
                        <w:adjustRightInd w:val="0"/>
                        <w:snapToGrid w:val="0"/>
                        <w:spacing w:line="240" w:lineRule="auto"/>
                        <w:ind w:firstLine="0" w:firstLineChars="0"/>
                        <w:jc w:val="center"/>
                        <w:rPr>
                          <w:rFonts w:ascii="仿宋_GB2312"/>
                          <w:sz w:val="24"/>
                          <w:szCs w:val="24"/>
                        </w:rPr>
                      </w:pPr>
                    </w:p>
                  </w:txbxContent>
                </v:textbox>
              </v:shape>
            </w:pict>
          </mc:Fallback>
        </mc:AlternateContent>
      </w:r>
      <w:r>
        <mc:AlternateContent>
          <mc:Choice Requires="wps">
            <w:drawing>
              <wp:anchor distT="0" distB="0" distL="113665" distR="113665" simplePos="0" relativeHeight="251659264" behindDoc="0" locked="0" layoutInCell="1" allowOverlap="1">
                <wp:simplePos x="0" y="0"/>
                <wp:positionH relativeFrom="column">
                  <wp:posOffset>-1428750</wp:posOffset>
                </wp:positionH>
                <wp:positionV relativeFrom="paragraph">
                  <wp:posOffset>60960</wp:posOffset>
                </wp:positionV>
                <wp:extent cx="0" cy="533400"/>
                <wp:effectExtent l="76835" t="15875" r="85090" b="22225"/>
                <wp:wrapNone/>
                <wp:docPr id="26" name="直接箭头连接符 6"/>
                <wp:cNvGraphicFramePr/>
                <a:graphic xmlns:a="http://schemas.openxmlformats.org/drawingml/2006/main">
                  <a:graphicData uri="http://schemas.microsoft.com/office/word/2010/wordprocessingShape">
                    <wps:wsp>
                      <wps:cNvCnPr>
                        <a:cxnSpLocks noChangeShapeType="1"/>
                      </wps:cNvCnPr>
                      <wps:spPr bwMode="auto">
                        <a:xfrm flipH="1">
                          <a:off x="0" y="0"/>
                          <a:ext cx="0" cy="533400"/>
                        </a:xfrm>
                        <a:prstGeom prst="straightConnector1">
                          <a:avLst/>
                        </a:prstGeom>
                        <a:noFill/>
                        <a:ln w="19050">
                          <a:solidFill>
                            <a:srgbClr val="000000"/>
                          </a:solidFill>
                          <a:round/>
                          <a:tailEnd type="arrow" w="med" len="med"/>
                        </a:ln>
                      </wps:spPr>
                      <wps:bodyPr/>
                    </wps:wsp>
                  </a:graphicData>
                </a:graphic>
              </wp:anchor>
            </w:drawing>
          </mc:Choice>
          <mc:Fallback>
            <w:pict>
              <v:shape id="直接箭头连接符 6" o:spid="_x0000_s1026" o:spt="32" type="#_x0000_t32" style="position:absolute;left:0pt;flip:x;margin-left:-112.5pt;margin-top:4.8pt;height:42pt;width:0pt;z-index:251659264;mso-width-relative:page;mso-height-relative:page;" filled="f" stroked="t" coordsize="21600,21600" o:gfxdata="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KSQfdYAAAAKAQAADwAAAAAAAAABACAAAAAiAAAAZHJzL2Rvd25yZXYueG1sUEsB&#10;AhQAFAAAAAgAh07iQBNa1zX3AQAApgMAAA4AAAAAAAAAAQAgAAAAJQEAAGRycy9lMm9Eb2MueG1s&#10;UEsFBgAAAAAGAAYAWQEAAI4FAAAAAA==&#10;">
                <v:fill on="f" focussize="0,0"/>
                <v:stroke weight="1.5pt" color="#000000" joinstyle="round" endarrow="open"/>
                <v:imagedata o:title=""/>
                <o:lock v:ext="edit" aspectratio="f"/>
              </v:shape>
            </w:pict>
          </mc:Fallback>
        </mc:AlternateContent>
      </w:r>
    </w:p>
    <w:bookmarkEnd w:id="6"/>
    <w:p>
      <w:pPr>
        <w:ind w:firstLine="0" w:firstLineChars="0"/>
        <w:rPr>
          <w:rFonts w:ascii="黑体" w:hAnsi="黑体" w:eastAsia="黑体"/>
        </w:rPr>
      </w:pPr>
    </w:p>
    <w:p>
      <w:pPr>
        <w:ind w:firstLine="0" w:firstLineChars="0"/>
        <w:rPr>
          <w:rFonts w:ascii="黑体" w:hAnsi="黑体" w:eastAsia="黑体"/>
        </w:rPr>
      </w:pPr>
    </w:p>
    <w:p>
      <w:pPr>
        <w:ind w:firstLine="0" w:firstLineChars="0"/>
        <w:rPr>
          <w:rFonts w:ascii="黑体" w:hAnsi="黑体" w:eastAsia="黑体"/>
        </w:rPr>
      </w:pPr>
    </w:p>
    <w:p>
      <w:pPr>
        <w:ind w:firstLine="0" w:firstLineChars="0"/>
      </w:pPr>
      <w:r>
        <w:rPr>
          <w:rFonts w:hint="eastAsia" w:ascii="黑体" w:hAnsi="黑体" w:eastAsia="黑体"/>
        </w:rPr>
        <w:t>六、其他</w:t>
      </w:r>
    </w:p>
    <w:p>
      <w:pPr>
        <w:ind w:firstLine="640"/>
      </w:pPr>
      <w:r>
        <w:rPr>
          <w:rFonts w:hint="eastAsia"/>
        </w:rPr>
        <w:t>其他未尽事宜请参照现行的法律法规、技术指导原则有关要求执行。</w:t>
      </w:r>
    </w:p>
    <w:p>
      <w:pPr>
        <w:ind w:firstLine="0" w:firstLineChars="0"/>
      </w:pPr>
      <w:r>
        <w:rPr>
          <w:rFonts w:hint="eastAsia" w:ascii="黑体" w:hAnsi="黑体" w:eastAsia="黑体"/>
        </w:rPr>
        <w:t>七、附件</w:t>
      </w:r>
    </w:p>
    <w:p>
      <w:pPr>
        <w:ind w:firstLine="640"/>
      </w:pPr>
      <w:r>
        <w:t>1</w:t>
      </w:r>
      <w:r>
        <w:rPr>
          <w:rFonts w:hint="eastAsia"/>
        </w:rPr>
        <w:t>已上市生物</w:t>
      </w:r>
      <w:r>
        <w:t>制品</w:t>
      </w:r>
      <w:r>
        <w:rPr>
          <w:rFonts w:hint="eastAsia"/>
        </w:rPr>
        <w:t>变更申报资料自查表</w:t>
      </w:r>
    </w:p>
    <w:p>
      <w:pPr>
        <w:ind w:firstLine="640"/>
      </w:pPr>
      <w:r>
        <w:t>2</w:t>
      </w:r>
      <w:r>
        <w:rPr>
          <w:rFonts w:hint="eastAsia"/>
        </w:rPr>
        <w:t>参考目录</w:t>
      </w:r>
    </w:p>
    <w:p>
      <w:pPr>
        <w:widowControl/>
        <w:spacing w:line="240" w:lineRule="auto"/>
        <w:ind w:firstLine="0" w:firstLineChars="0"/>
        <w:jc w:val="left"/>
      </w:pPr>
      <w:r>
        <w:br w:type="page"/>
      </w:r>
      <w:r>
        <w:rPr>
          <w:rFonts w:hint="eastAsia" w:eastAsia="黑体"/>
        </w:rPr>
        <w:t>附</w:t>
      </w:r>
      <w:r>
        <w:rPr>
          <w:rFonts w:eastAsia="黑体"/>
        </w:rPr>
        <w:t>1</w:t>
      </w:r>
    </w:p>
    <w:p>
      <w:pPr>
        <w:overflowPunct w:val="0"/>
        <w:spacing w:line="560" w:lineRule="exact"/>
        <w:ind w:firstLine="0" w:firstLineChars="0"/>
        <w:jc w:val="center"/>
        <w:outlineLvl w:val="1"/>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生物制品</w:t>
      </w:r>
      <w:r>
        <w:rPr>
          <w:rFonts w:ascii="方正小标宋简体" w:hAnsi="方正小标宋简体" w:eastAsia="方正小标宋简体" w:cs="方正小标宋简体"/>
          <w:color w:val="000000"/>
          <w:kern w:val="0"/>
          <w:sz w:val="44"/>
          <w:szCs w:val="44"/>
        </w:rPr>
        <w:t>变更</w:t>
      </w:r>
      <w:r>
        <w:rPr>
          <w:rFonts w:hint="eastAsia" w:ascii="方正小标宋简体" w:hAnsi="方正小标宋简体" w:eastAsia="方正小标宋简体" w:cs="方正小标宋简体"/>
          <w:color w:val="000000"/>
          <w:kern w:val="0"/>
          <w:sz w:val="44"/>
          <w:szCs w:val="44"/>
        </w:rPr>
        <w:t>申报资料自查表</w:t>
      </w:r>
    </w:p>
    <w:tbl>
      <w:tblPr>
        <w:tblStyle w:val="24"/>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8"/>
        <w:gridCol w:w="2094"/>
        <w:gridCol w:w="105"/>
        <w:gridCol w:w="1086"/>
        <w:gridCol w:w="441"/>
        <w:gridCol w:w="379"/>
        <w:gridCol w:w="547"/>
        <w:gridCol w:w="1254"/>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黑体" w:cs="仿宋_GB2312"/>
                <w:bCs/>
                <w:sz w:val="24"/>
                <w:szCs w:val="24"/>
              </w:rPr>
            </w:pPr>
            <w:r>
              <w:rPr>
                <w:rFonts w:hint="eastAsia" w:ascii="仿宋_GB2312" w:hAnsi="黑体" w:cs="仿宋_GB2312"/>
                <w:bCs/>
                <w:sz w:val="24"/>
                <w:szCs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2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bCs/>
                <w:sz w:val="24"/>
                <w:szCs w:val="24"/>
              </w:rPr>
            </w:pPr>
            <w:r>
              <w:rPr>
                <w:rFonts w:hint="eastAsia" w:ascii="仿宋_GB2312"/>
                <w:bCs/>
                <w:sz w:val="24"/>
                <w:szCs w:val="24"/>
              </w:rPr>
              <w:t>药品名称</w:t>
            </w:r>
          </w:p>
        </w:tc>
        <w:tc>
          <w:tcPr>
            <w:tcW w:w="32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仿宋_GB2312" w:cs="仿宋_GB2312"/>
                <w:bCs/>
                <w:sz w:val="24"/>
                <w:szCs w:val="24"/>
              </w:rPr>
            </w:pPr>
          </w:p>
        </w:tc>
        <w:tc>
          <w:tcPr>
            <w:tcW w:w="136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仿宋_GB2312" w:cs="仿宋_GB2312"/>
                <w:bCs/>
                <w:sz w:val="24"/>
                <w:szCs w:val="24"/>
              </w:rPr>
            </w:pPr>
            <w:r>
              <w:rPr>
                <w:rFonts w:hint="eastAsia" w:ascii="仿宋_GB2312" w:hAnsi="仿宋_GB2312" w:cs="仿宋_GB2312"/>
                <w:bCs/>
                <w:sz w:val="24"/>
                <w:szCs w:val="24"/>
              </w:rPr>
              <w:t>规  格</w:t>
            </w:r>
          </w:p>
        </w:tc>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2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bCs/>
                <w:sz w:val="24"/>
                <w:szCs w:val="24"/>
              </w:rPr>
            </w:pPr>
            <w:r>
              <w:rPr>
                <w:rFonts w:hint="eastAsia" w:ascii="仿宋_GB2312"/>
                <w:bCs/>
                <w:sz w:val="24"/>
                <w:szCs w:val="24"/>
              </w:rPr>
              <w:t>申请人</w:t>
            </w:r>
          </w:p>
        </w:tc>
        <w:tc>
          <w:tcPr>
            <w:tcW w:w="677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24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bCs/>
                <w:sz w:val="24"/>
                <w:szCs w:val="24"/>
              </w:rPr>
            </w:pPr>
            <w:r>
              <w:rPr>
                <w:rFonts w:hint="eastAsia" w:ascii="仿宋_GB2312"/>
                <w:bCs/>
                <w:sz w:val="24"/>
                <w:szCs w:val="24"/>
              </w:rPr>
              <w:t>申请事项分类</w:t>
            </w:r>
          </w:p>
        </w:tc>
        <w:tc>
          <w:tcPr>
            <w:tcW w:w="677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815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黑体" w:cs="仿宋_GB2312"/>
                <w:bCs/>
                <w:sz w:val="24"/>
                <w:szCs w:val="24"/>
              </w:rPr>
            </w:pPr>
            <w:r>
              <w:rPr>
                <w:rFonts w:hint="eastAsia" w:ascii="仿宋_GB2312" w:hAnsi="黑体" w:cs="仿宋_GB2312"/>
                <w:bCs/>
                <w:sz w:val="24"/>
                <w:szCs w:val="24"/>
              </w:rPr>
              <w:t>适用范围</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ascii="仿宋_GB2312" w:hAnsi="仿宋_GB2312" w:cs="仿宋_GB2312"/>
                <w:bCs/>
                <w:sz w:val="24"/>
                <w:szCs w:val="24"/>
              </w:rPr>
            </w:pPr>
            <w:r>
              <w:rPr>
                <w:rFonts w:hint="eastAsia" w:ascii="仿宋_GB2312" w:hAnsi="仿宋_GB2312" w:cs="仿宋_GB2312"/>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变更分类</w:t>
            </w:r>
          </w:p>
        </w:tc>
        <w:tc>
          <w:tcPr>
            <w:tcW w:w="370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□补充申请</w:t>
            </w:r>
          </w:p>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□备案</w:t>
            </w:r>
          </w:p>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□年报</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变更分类是否正确</w:t>
            </w:r>
          </w:p>
        </w:tc>
        <w:tc>
          <w:tcPr>
            <w:tcW w:w="190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02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jc w:val="center"/>
              <w:rPr>
                <w:rFonts w:ascii="仿宋_GB2312" w:hAnsi="黑体" w:cs="仿宋_GB2312"/>
                <w:bCs/>
                <w:sz w:val="24"/>
                <w:szCs w:val="24"/>
              </w:rPr>
            </w:pPr>
            <w:r>
              <w:rPr>
                <w:rFonts w:hint="eastAsia" w:ascii="仿宋_GB2312" w:hAnsi="黑体" w:cs="仿宋_GB2312"/>
                <w:bCs/>
                <w:sz w:val="24"/>
                <w:szCs w:val="24"/>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1.申报品种状态</w:t>
            </w:r>
          </w:p>
        </w:tc>
        <w:tc>
          <w:tcPr>
            <w:tcW w:w="370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□已上市</w:t>
            </w:r>
          </w:p>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□已批准临床</w:t>
            </w:r>
          </w:p>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□在审评审批中</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2.是否按照《已上市生物制品变更事项分类及申报资料要求》选择变更分类并提交资料</w:t>
            </w:r>
          </w:p>
        </w:tc>
        <w:tc>
          <w:tcPr>
            <w:tcW w:w="190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3.补充申请是否按相关技术指导原则完成研究</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□是/□不适用</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4.是否属于需要递交新的临床试验和上市许可申请的重大变更</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5.是否属于变更分类申请有误，申请人按新变更分类重新申报的情况。</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6.是否属于药物临床试验被责令暂停后，申办者重新提出恢复药物临床试验的补充申请</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7.是否属于临床试验期间提出的补充申请</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8.是否属于附条件批准的要求，按规定完成研究后申报补充申请</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9.是否按照填表说明规范填写申请表</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47"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bCs/>
                <w:sz w:val="24"/>
                <w:szCs w:val="24"/>
              </w:rPr>
            </w:pPr>
            <w:r>
              <w:rPr>
                <w:rFonts w:hint="eastAsia" w:ascii="仿宋_GB2312"/>
                <w:bCs/>
                <w:sz w:val="24"/>
                <w:szCs w:val="24"/>
              </w:rPr>
              <w:t>11.申报资料是否符合《申报资料基本要求》</w:t>
            </w:r>
          </w:p>
        </w:tc>
        <w:tc>
          <w:tcPr>
            <w:tcW w:w="1906" w:type="dxa"/>
            <w:gridSpan w:val="3"/>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□是</w:t>
            </w:r>
          </w:p>
        </w:tc>
        <w:tc>
          <w:tcPr>
            <w:tcW w:w="1801" w:type="dxa"/>
            <w:gridSpan w:val="2"/>
            <w:tcBorders>
              <w:top w:val="single" w:color="auto" w:sz="4" w:space="0"/>
              <w:left w:val="single" w:color="auto" w:sz="4" w:space="0"/>
              <w:right w:val="single" w:color="auto" w:sz="4" w:space="0"/>
            </w:tcBorders>
            <w:shd w:val="clear" w:color="auto" w:fill="auto"/>
            <w:vAlign w:val="center"/>
          </w:tcPr>
          <w:p>
            <w:pPr>
              <w:spacing w:line="400" w:lineRule="exact"/>
              <w:ind w:firstLine="0" w:firstLineChars="0"/>
              <w:rPr>
                <w:rFonts w:ascii="仿宋_GB2312" w:hAnsi="仿宋_GB2312" w:cs="仿宋_GB2312"/>
                <w:bCs/>
                <w:sz w:val="24"/>
                <w:szCs w:val="24"/>
              </w:rPr>
            </w:pPr>
            <w:r>
              <w:rPr>
                <w:rFonts w:hint="eastAsia" w:ascii="仿宋_GB2312" w:hAnsi="仿宋_GB2312" w:cs="仿宋_GB2312"/>
                <w:bCs/>
                <w:sz w:val="24"/>
                <w:szCs w:val="24"/>
              </w:rPr>
              <w:t>□否</w:t>
            </w:r>
          </w:p>
        </w:tc>
        <w:tc>
          <w:tcPr>
            <w:tcW w:w="866" w:type="dxa"/>
            <w:tcBorders>
              <w:top w:val="single" w:color="auto" w:sz="4" w:space="0"/>
              <w:left w:val="single" w:color="auto" w:sz="4" w:space="0"/>
              <w:right w:val="single" w:color="auto" w:sz="4" w:space="0"/>
            </w:tcBorders>
            <w:shd w:val="clear" w:color="auto" w:fill="auto"/>
            <w:vAlign w:val="center"/>
          </w:tcPr>
          <w:p>
            <w:pPr>
              <w:spacing w:line="240" w:lineRule="auto"/>
              <w:ind w:firstLine="0" w:firstLineChars="0"/>
              <w:rPr>
                <w:rFonts w:ascii="仿宋_GB2312" w:hAnsi="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20" w:type="dxa"/>
            <w:gridSpan w:val="9"/>
            <w:shd w:val="clear" w:color="auto" w:fill="auto"/>
            <w:vAlign w:val="center"/>
          </w:tcPr>
          <w:p>
            <w:pPr>
              <w:spacing w:line="240" w:lineRule="auto"/>
              <w:ind w:firstLine="0" w:firstLineChars="0"/>
              <w:jc w:val="center"/>
              <w:rPr>
                <w:rFonts w:ascii="仿宋_GB2312" w:hAnsi="黑体"/>
                <w:color w:val="000000"/>
                <w:sz w:val="24"/>
                <w:szCs w:val="24"/>
              </w:rPr>
            </w:pPr>
            <w:r>
              <w:rPr>
                <w:rFonts w:hint="eastAsia" w:ascii="仿宋_GB2312" w:hAnsi="黑体"/>
                <w:bCs/>
                <w:sz w:val="24"/>
                <w:szCs w:val="24"/>
              </w:rPr>
              <w:t>申报资料自查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1.药品说明书样稿及详细修订说明</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widowControl/>
              <w:spacing w:line="240" w:lineRule="auto"/>
              <w:ind w:firstLine="0" w:firstLineChars="0"/>
              <w:rPr>
                <w:rFonts w:ascii="仿宋_GB2312"/>
                <w:bCs/>
                <w:sz w:val="24"/>
                <w:szCs w:val="24"/>
              </w:rPr>
            </w:pPr>
          </w:p>
        </w:tc>
        <w:tc>
          <w:tcPr>
            <w:tcW w:w="866" w:type="dxa"/>
            <w:vAlign w:val="center"/>
          </w:tcPr>
          <w:p>
            <w:pPr>
              <w:spacing w:line="240" w:lineRule="auto"/>
              <w:ind w:firstLine="0" w:firstLineChars="0"/>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2.药品标签样稿及详细修订说明</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3.药学研究资料</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是否按照《已上市生物制品变更事项分类及申报资料要求》中相应的申报资料项目提供。</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4.药理毒理研究资料</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是否按照药理毒理相关指导原则要求提交申报资料。</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5.临床试验资料</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4342" w:type="dxa"/>
            <w:gridSpan w:val="2"/>
            <w:vAlign w:val="center"/>
          </w:tcPr>
          <w:p>
            <w:pPr>
              <w:spacing w:line="240" w:lineRule="auto"/>
              <w:ind w:firstLine="0" w:firstLineChars="0"/>
              <w:rPr>
                <w:rFonts w:ascii="仿宋_GB2312"/>
                <w:bCs/>
                <w:sz w:val="24"/>
                <w:szCs w:val="24"/>
              </w:rPr>
            </w:pPr>
            <w:r>
              <w:rPr>
                <w:rFonts w:hint="eastAsia" w:ascii="仿宋_GB2312"/>
                <w:bCs/>
                <w:sz w:val="24"/>
                <w:szCs w:val="24"/>
              </w:rPr>
              <w:t>是否按照《已上市药品临床变更事项及申报资料要求》中相应的申报资料项目提供。</w:t>
            </w:r>
          </w:p>
          <w:p>
            <w:pPr>
              <w:spacing w:line="240" w:lineRule="auto"/>
              <w:ind w:firstLine="0" w:firstLineChars="0"/>
              <w:rPr>
                <w:rFonts w:ascii="仿宋_GB2312"/>
                <w:bCs/>
                <w:sz w:val="24"/>
                <w:szCs w:val="24"/>
              </w:rPr>
            </w:pPr>
            <w:r>
              <w:rPr>
                <w:rFonts w:hint="eastAsia" w:ascii="仿宋_GB2312"/>
                <w:bCs/>
                <w:sz w:val="24"/>
                <w:szCs w:val="24"/>
              </w:rPr>
              <w:t>临床试验报告封面是否符合临床试验报告相关指导原则要求，并应加盖临床研究机构有效公章，印章应加盖在文字处。临床试验数据库资料参照相关要求执行</w:t>
            </w:r>
          </w:p>
        </w:tc>
        <w:tc>
          <w:tcPr>
            <w:tcW w:w="1632"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□提供</w:t>
            </w:r>
          </w:p>
          <w:p>
            <w:pPr>
              <w:spacing w:line="240" w:lineRule="auto"/>
              <w:ind w:firstLine="0" w:firstLineChars="0"/>
              <w:rPr>
                <w:rFonts w:ascii="仿宋_GB2312"/>
                <w:bCs/>
                <w:sz w:val="24"/>
                <w:szCs w:val="24"/>
              </w:rPr>
            </w:pPr>
            <w:r>
              <w:rPr>
                <w:rFonts w:hint="eastAsia" w:ascii="仿宋_GB2312"/>
                <w:bCs/>
                <w:sz w:val="24"/>
                <w:szCs w:val="24"/>
              </w:rPr>
              <w:t>□不需要提供</w:t>
            </w:r>
          </w:p>
        </w:tc>
        <w:tc>
          <w:tcPr>
            <w:tcW w:w="2180" w:type="dxa"/>
            <w:gridSpan w:val="3"/>
            <w:vAlign w:val="center"/>
          </w:tcPr>
          <w:p>
            <w:pPr>
              <w:spacing w:line="240" w:lineRule="auto"/>
              <w:ind w:firstLine="0" w:firstLineChars="0"/>
              <w:rPr>
                <w:rFonts w:ascii="仿宋_GB2312"/>
                <w:bCs/>
                <w:sz w:val="24"/>
                <w:szCs w:val="24"/>
              </w:rPr>
            </w:pPr>
            <w:r>
              <w:rPr>
                <w:rFonts w:hint="eastAsia" w:ascii="仿宋_GB2312"/>
                <w:bCs/>
                <w:sz w:val="24"/>
                <w:szCs w:val="24"/>
              </w:rPr>
              <w:t>□未提供</w:t>
            </w:r>
          </w:p>
          <w:p>
            <w:pPr>
              <w:spacing w:line="240" w:lineRule="auto"/>
              <w:ind w:firstLine="0" w:firstLineChars="0"/>
              <w:rPr>
                <w:rFonts w:ascii="仿宋_GB2312"/>
                <w:bCs/>
                <w:sz w:val="24"/>
                <w:szCs w:val="24"/>
              </w:rPr>
            </w:pPr>
          </w:p>
        </w:tc>
        <w:tc>
          <w:tcPr>
            <w:tcW w:w="866" w:type="dxa"/>
            <w:vAlign w:val="center"/>
          </w:tcPr>
          <w:p>
            <w:pPr>
              <w:spacing w:line="240" w:lineRule="auto"/>
              <w:ind w:firstLine="0" w:firstLineChars="0"/>
              <w:jc w:val="center"/>
              <w:rPr>
                <w:rFonts w:ascii="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1" w:hRule="atLeast"/>
        </w:trPr>
        <w:tc>
          <w:tcPr>
            <w:tcW w:w="9020" w:type="dxa"/>
            <w:gridSpan w:val="9"/>
            <w:tcBorders>
              <w:top w:val="single" w:color="auto" w:sz="4" w:space="0"/>
              <w:left w:val="single" w:color="000000" w:sz="4" w:space="0"/>
              <w:right w:val="single" w:color="000000" w:sz="4" w:space="0"/>
            </w:tcBorders>
            <w:vAlign w:val="center"/>
          </w:tcPr>
          <w:p>
            <w:pPr>
              <w:spacing w:line="240" w:lineRule="auto"/>
              <w:ind w:firstLine="0" w:firstLineChars="0"/>
              <w:jc w:val="center"/>
              <w:rPr>
                <w:rFonts w:ascii="仿宋_GB2312" w:hAnsi="黑体"/>
                <w:sz w:val="24"/>
                <w:szCs w:val="24"/>
              </w:rPr>
            </w:pPr>
            <w:r>
              <w:rPr>
                <w:rFonts w:hint="eastAsia" w:ascii="仿宋_GB2312" w:hAnsi="黑体"/>
                <w:sz w:val="24"/>
                <w:szCs w:val="24"/>
              </w:rPr>
              <w:t>申请材料真实性承诺</w:t>
            </w:r>
          </w:p>
          <w:p>
            <w:pPr>
              <w:spacing w:line="240" w:lineRule="auto"/>
              <w:ind w:firstLine="0" w:firstLineChars="0"/>
              <w:jc w:val="center"/>
              <w:rPr>
                <w:rFonts w:ascii="仿宋_GB2312" w:hAnsi="黑体"/>
                <w:sz w:val="24"/>
                <w:szCs w:val="24"/>
              </w:rPr>
            </w:pPr>
          </w:p>
          <w:p>
            <w:pPr>
              <w:overflowPunct w:val="0"/>
              <w:spacing w:line="560" w:lineRule="exact"/>
              <w:ind w:firstLine="0" w:firstLineChars="0"/>
              <w:jc w:val="left"/>
              <w:rPr>
                <w:rFonts w:ascii="仿宋_GB2312"/>
                <w:sz w:val="24"/>
                <w:szCs w:val="24"/>
              </w:rPr>
            </w:pPr>
            <w:r>
              <w:rPr>
                <w:rFonts w:hint="eastAsia" w:ascii="仿宋_GB2312"/>
                <w:sz w:val="24"/>
                <w:szCs w:val="24"/>
              </w:rPr>
              <w:t>1、本申请遵守国家相关法律、法规和规章的规定。</w:t>
            </w:r>
          </w:p>
          <w:p>
            <w:pPr>
              <w:overflowPunct w:val="0"/>
              <w:spacing w:line="560" w:lineRule="exact"/>
              <w:ind w:firstLine="0" w:firstLineChars="0"/>
              <w:jc w:val="left"/>
              <w:rPr>
                <w:rFonts w:ascii="仿宋_GB2312"/>
                <w:sz w:val="24"/>
                <w:szCs w:val="24"/>
              </w:rPr>
            </w:pPr>
            <w:r>
              <w:rPr>
                <w:rFonts w:hint="eastAsia" w:ascii="仿宋_GB2312"/>
                <w:sz w:val="24"/>
                <w:szCs w:val="24"/>
              </w:rPr>
              <w:t>2、</w:t>
            </w:r>
            <w:r>
              <w:rPr>
                <w:rFonts w:hint="eastAsia" w:ascii="仿宋_GB2312"/>
                <w:sz w:val="24"/>
                <w:szCs w:val="24"/>
                <w:lang w:eastAsia="zh-CN"/>
              </w:rPr>
              <w:t>申请人应对研究数据和结论的真实性、可靠性、科学性负责，并对</w:t>
            </w:r>
            <w:r>
              <w:rPr>
                <w:rFonts w:hint="eastAsia" w:ascii="仿宋_GB2312"/>
                <w:sz w:val="24"/>
                <w:szCs w:val="24"/>
              </w:rPr>
              <w:t>自查表及所提交的申报资料均真实、来源合法、译文准确。</w:t>
            </w:r>
          </w:p>
          <w:p>
            <w:pPr>
              <w:overflowPunct w:val="0"/>
              <w:spacing w:line="560" w:lineRule="exact"/>
              <w:ind w:firstLine="0" w:firstLineChars="0"/>
              <w:jc w:val="left"/>
              <w:rPr>
                <w:rFonts w:ascii="仿宋_GB2312"/>
                <w:sz w:val="24"/>
                <w:szCs w:val="24"/>
              </w:rPr>
            </w:pPr>
            <w:r>
              <w:rPr>
                <w:rFonts w:hint="eastAsia" w:ascii="仿宋_GB2312"/>
                <w:sz w:val="24"/>
                <w:szCs w:val="24"/>
              </w:rPr>
              <w:t>3、所提交的申报资料与目录内容完全一致。</w:t>
            </w:r>
          </w:p>
          <w:p>
            <w:pPr>
              <w:overflowPunct w:val="0"/>
              <w:spacing w:line="560" w:lineRule="exact"/>
              <w:ind w:firstLine="0" w:firstLineChars="0"/>
              <w:jc w:val="left"/>
              <w:rPr>
                <w:rFonts w:ascii="仿宋_GB2312"/>
                <w:sz w:val="24"/>
                <w:szCs w:val="24"/>
              </w:rPr>
            </w:pPr>
            <w:r>
              <w:rPr>
                <w:rFonts w:hint="eastAsia" w:ascii="仿宋_GB2312"/>
                <w:sz w:val="24"/>
                <w:szCs w:val="24"/>
              </w:rPr>
              <w:t>4、所提交的复印件与原件内容完全一致。</w:t>
            </w:r>
          </w:p>
          <w:p>
            <w:pPr>
              <w:overflowPunct w:val="0"/>
              <w:spacing w:line="560" w:lineRule="exact"/>
              <w:ind w:firstLine="0" w:firstLineChars="0"/>
              <w:jc w:val="left"/>
              <w:rPr>
                <w:rFonts w:ascii="仿宋_GB2312"/>
                <w:sz w:val="24"/>
                <w:szCs w:val="24"/>
              </w:rPr>
            </w:pPr>
            <w:r>
              <w:rPr>
                <w:rFonts w:hint="eastAsia" w:ascii="仿宋_GB2312"/>
                <w:sz w:val="24"/>
                <w:szCs w:val="24"/>
              </w:rPr>
              <w:t>5、所提交的电子文件与打印文件内容完全一致。</w:t>
            </w:r>
          </w:p>
          <w:p>
            <w:pPr>
              <w:overflowPunct w:val="0"/>
              <w:spacing w:line="560" w:lineRule="exact"/>
              <w:ind w:firstLine="0" w:firstLineChars="0"/>
              <w:jc w:val="left"/>
              <w:rPr>
                <w:rFonts w:ascii="仿宋_GB2312"/>
                <w:sz w:val="24"/>
                <w:szCs w:val="24"/>
              </w:rPr>
            </w:pPr>
            <w:r>
              <w:rPr>
                <w:rFonts w:hint="eastAsia" w:ascii="仿宋_GB2312"/>
                <w:sz w:val="24"/>
                <w:szCs w:val="24"/>
              </w:rPr>
              <w:t>6、保证按要求在</w:t>
            </w:r>
            <w:r>
              <w:rPr>
                <w:rFonts w:hint="eastAsia" w:ascii="仿宋_GB2312"/>
                <w:sz w:val="24"/>
                <w:szCs w:val="24"/>
                <w:lang w:eastAsia="zh-CN"/>
              </w:rPr>
              <w:t>国家</w:t>
            </w:r>
            <w:r>
              <w:rPr>
                <w:rFonts w:hint="eastAsia" w:ascii="仿宋_GB2312"/>
                <w:sz w:val="24"/>
                <w:szCs w:val="24"/>
              </w:rPr>
              <w:t>药品审评中心网站及时上传相关电子资料。</w:t>
            </w:r>
          </w:p>
          <w:p>
            <w:pPr>
              <w:overflowPunct w:val="0"/>
              <w:spacing w:line="560" w:lineRule="exact"/>
              <w:ind w:firstLine="0" w:firstLineChars="0"/>
              <w:jc w:val="left"/>
              <w:rPr>
                <w:rFonts w:ascii="仿宋_GB2312"/>
                <w:sz w:val="24"/>
                <w:szCs w:val="24"/>
              </w:rPr>
            </w:pPr>
            <w:r>
              <w:rPr>
                <w:rFonts w:hint="eastAsia" w:ascii="仿宋_GB2312"/>
                <w:sz w:val="24"/>
                <w:szCs w:val="24"/>
              </w:rPr>
              <w:t>7、如有虚假，申请人本单位愿意承担相应法律责任。</w:t>
            </w:r>
          </w:p>
          <w:p>
            <w:pPr>
              <w:spacing w:line="240" w:lineRule="auto"/>
              <w:ind w:firstLine="0" w:firstLineChars="0"/>
              <w:rPr>
                <w:rFonts w:ascii="仿宋_GB2312"/>
                <w:bCs/>
                <w:sz w:val="24"/>
                <w:szCs w:val="24"/>
              </w:rPr>
            </w:pPr>
          </w:p>
          <w:p>
            <w:pPr>
              <w:overflowPunct w:val="0"/>
              <w:spacing w:line="240" w:lineRule="auto"/>
              <w:ind w:firstLine="0" w:firstLineChars="0"/>
              <w:jc w:val="left"/>
              <w:rPr>
                <w:rFonts w:ascii="仿宋_GB2312"/>
                <w:bCs/>
                <w:sz w:val="24"/>
                <w:szCs w:val="24"/>
              </w:rPr>
            </w:pPr>
            <w:r>
              <w:rPr>
                <w:rFonts w:hint="eastAsia" w:ascii="仿宋_GB2312"/>
                <w:bCs/>
                <w:sz w:val="24"/>
                <w:szCs w:val="24"/>
              </w:rPr>
              <w:t>负责人（签字）                       申请人（公章）</w:t>
            </w:r>
          </w:p>
          <w:p>
            <w:pPr>
              <w:overflowPunct w:val="0"/>
              <w:spacing w:line="240" w:lineRule="auto"/>
              <w:ind w:firstLine="0" w:firstLineChars="0"/>
              <w:jc w:val="left"/>
              <w:rPr>
                <w:rFonts w:ascii="仿宋_GB2312"/>
                <w:bCs/>
                <w:sz w:val="24"/>
                <w:szCs w:val="24"/>
              </w:rPr>
            </w:pPr>
          </w:p>
          <w:p>
            <w:pPr>
              <w:overflowPunct w:val="0"/>
              <w:spacing w:line="240" w:lineRule="auto"/>
              <w:ind w:firstLine="0" w:firstLineChars="0"/>
              <w:jc w:val="left"/>
              <w:rPr>
                <w:rFonts w:ascii="仿宋_GB2312"/>
                <w:bCs/>
                <w:sz w:val="24"/>
                <w:szCs w:val="24"/>
              </w:rPr>
            </w:pPr>
          </w:p>
          <w:p>
            <w:pPr>
              <w:spacing w:line="240" w:lineRule="auto"/>
              <w:ind w:firstLine="0" w:firstLineChars="0"/>
              <w:rPr>
                <w:rFonts w:ascii="仿宋_GB2312" w:hAnsi="宋体"/>
                <w:sz w:val="24"/>
                <w:szCs w:val="24"/>
              </w:rPr>
            </w:pPr>
            <w:r>
              <w:rPr>
                <w:rFonts w:hint="eastAsia" w:ascii="仿宋_GB2312"/>
                <w:bCs/>
                <w:sz w:val="24"/>
                <w:szCs w:val="24"/>
              </w:rPr>
              <w:t>年   月   日</w:t>
            </w:r>
          </w:p>
        </w:tc>
      </w:tr>
    </w:tbl>
    <w:p>
      <w:pPr>
        <w:snapToGrid w:val="0"/>
        <w:spacing w:line="600" w:lineRule="exact"/>
        <w:ind w:firstLine="0" w:firstLineChars="0"/>
        <w:jc w:val="center"/>
        <w:rPr>
          <w:rFonts w:ascii="方正小标宋简体" w:hAnsi="宋体" w:eastAsia="方正小标宋简体"/>
          <w:sz w:val="44"/>
          <w:szCs w:val="36"/>
        </w:rPr>
      </w:pPr>
    </w:p>
    <w:p>
      <w:pPr>
        <w:widowControl/>
        <w:spacing w:line="240" w:lineRule="auto"/>
        <w:ind w:firstLine="0" w:firstLineChars="0"/>
        <w:jc w:val="left"/>
        <w:rPr>
          <w:rFonts w:ascii="方正小标宋简体" w:hAnsi="宋体" w:eastAsia="方正小标宋简体"/>
          <w:sz w:val="44"/>
          <w:szCs w:val="36"/>
        </w:rPr>
      </w:pPr>
      <w:r>
        <w:rPr>
          <w:rFonts w:ascii="方正小标宋简体" w:hAnsi="宋体" w:eastAsia="方正小标宋简体"/>
          <w:sz w:val="44"/>
          <w:szCs w:val="36"/>
        </w:rPr>
        <w:br w:type="page"/>
      </w:r>
      <w:r>
        <w:rPr>
          <w:rFonts w:hint="eastAsia" w:eastAsia="黑体"/>
        </w:rPr>
        <w:t>附</w:t>
      </w:r>
      <w:r>
        <w:rPr>
          <w:rFonts w:eastAsia="黑体"/>
        </w:rPr>
        <w:t>2</w:t>
      </w:r>
    </w:p>
    <w:p>
      <w:pPr>
        <w:tabs>
          <w:tab w:val="left" w:pos="420"/>
        </w:tabs>
        <w:overflowPunct w:val="0"/>
        <w:adjustRightInd w:val="0"/>
        <w:snapToGrid w:val="0"/>
        <w:spacing w:line="600" w:lineRule="exact"/>
        <w:ind w:firstLine="0" w:firstLineChars="0"/>
        <w:jc w:val="center"/>
        <w:outlineLvl w:val="1"/>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参考目录</w:t>
      </w:r>
    </w:p>
    <w:p>
      <w:pPr>
        <w:ind w:firstLine="640"/>
      </w:pPr>
    </w:p>
    <w:p>
      <w:pPr>
        <w:ind w:firstLine="0" w:firstLineChars="0"/>
      </w:pPr>
      <w:r>
        <w:t>1</w:t>
      </w:r>
      <w:r>
        <w:rPr>
          <w:rFonts w:hint="eastAsia" w:ascii="仿宋_GB2312" w:cs="宋体"/>
          <w:kern w:val="0"/>
        </w:rPr>
        <w:t>.</w:t>
      </w:r>
      <w:r>
        <w:rPr>
          <w:rFonts w:hint="eastAsia"/>
        </w:rPr>
        <w:t>《药品注册管理办法》（总局令27号）</w:t>
      </w:r>
    </w:p>
    <w:p>
      <w:pPr>
        <w:ind w:firstLine="0" w:firstLineChars="0"/>
      </w:pPr>
      <w:r>
        <w:t>2</w:t>
      </w:r>
      <w:r>
        <w:rPr>
          <w:rFonts w:hint="eastAsia" w:ascii="仿宋_GB2312" w:cs="宋体"/>
          <w:kern w:val="0"/>
        </w:rPr>
        <w:t>.</w:t>
      </w:r>
      <w:r>
        <w:rPr>
          <w:rFonts w:hint="eastAsia"/>
        </w:rPr>
        <w:t>《已上市生物制品变更事项分类及申报资料要求》</w:t>
      </w:r>
    </w:p>
    <w:p>
      <w:pPr>
        <w:ind w:firstLine="0" w:firstLineChars="0"/>
      </w:pPr>
      <w:r>
        <w:t>3</w:t>
      </w:r>
      <w:r>
        <w:rPr>
          <w:rFonts w:hint="eastAsia" w:ascii="仿宋_GB2312" w:cs="宋体"/>
          <w:kern w:val="0"/>
        </w:rPr>
        <w:t>.</w:t>
      </w:r>
      <w:r>
        <w:rPr>
          <w:rFonts w:hint="eastAsia"/>
        </w:rPr>
        <w:t>《已上市药品临床变更技术指导原则》</w:t>
      </w:r>
    </w:p>
    <w:p>
      <w:pPr>
        <w:ind w:firstLine="0" w:firstLineChars="0"/>
      </w:pPr>
      <w:r>
        <w:t>4</w:t>
      </w:r>
      <w:r>
        <w:rPr>
          <w:rFonts w:hint="eastAsia" w:ascii="仿宋_GB2312" w:cs="宋体"/>
          <w:kern w:val="0"/>
        </w:rPr>
        <w:t>.</w:t>
      </w:r>
      <w:r>
        <w:rPr>
          <w:rFonts w:hint="eastAsia"/>
        </w:rPr>
        <w:t>《生物制品上市后变更研究技术指导原则》</w:t>
      </w:r>
    </w:p>
    <w:p>
      <w:pPr>
        <w:ind w:firstLine="0" w:firstLineChars="0"/>
      </w:pPr>
      <w:r>
        <w:t>5.</w:t>
      </w:r>
      <w:r>
        <w:rPr>
          <w:rFonts w:hint="eastAsia"/>
        </w:rPr>
        <w:t>《疫苗上市后生产工艺变更研究技术指导原则》</w:t>
      </w:r>
    </w:p>
    <w:p>
      <w:pPr>
        <w:ind w:firstLine="0" w:firstLineChars="0"/>
      </w:pPr>
      <w:r>
        <w:rPr>
          <w:rFonts w:hint="eastAsia"/>
        </w:rPr>
        <w:t>5．《关于取消36项证明事项的公告》（2019年第34号）</w:t>
      </w:r>
    </w:p>
    <w:p>
      <w:pPr>
        <w:ind w:firstLine="0" w:firstLineChars="0"/>
      </w:pPr>
      <w:r>
        <w:rPr>
          <w:rFonts w:hint="eastAsia"/>
        </w:rPr>
        <w:t>6．《关于取消16项证明事项的公告（第二批）》（2019年第55号）</w:t>
      </w:r>
    </w:p>
    <w:p>
      <w:pPr>
        <w:ind w:firstLine="0" w:firstLineChars="0"/>
      </w:pPr>
      <w:r>
        <w:rPr>
          <w:rFonts w:hint="eastAsia"/>
        </w:rPr>
        <w:t>7．《关于取消68项证明事项的公告（第三批）》(2019年第102号)</w:t>
      </w:r>
    </w:p>
    <w:p>
      <w:pPr>
        <w:tabs>
          <w:tab w:val="left" w:pos="420"/>
        </w:tabs>
        <w:overflowPunct w:val="0"/>
        <w:adjustRightInd w:val="0"/>
        <w:snapToGrid w:val="0"/>
        <w:spacing w:line="600" w:lineRule="exact"/>
        <w:ind w:firstLine="0" w:firstLineChars="0"/>
        <w:outlineLvl w:val="1"/>
        <w:rPr>
          <w:rFonts w:ascii="Cambria" w:hAnsi="Cambria" w:eastAsia="宋体"/>
          <w:b/>
          <w:bCs/>
          <w:kern w:val="0"/>
          <w:sz w:val="24"/>
          <w:szCs w:val="24"/>
        </w:rPr>
      </w:pPr>
    </w:p>
    <w:p>
      <w:pPr>
        <w:pStyle w:val="19"/>
        <w:ind w:firstLine="0" w:firstLineChars="0"/>
        <w:jc w:val="left"/>
        <w:rPr>
          <w:rFonts w:ascii="仿宋" w:hAnsi="仿宋" w:eastAsia="仿宋"/>
          <w:sz w:val="24"/>
          <w:szCs w:val="24"/>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321882"/>
    </w:sdtPr>
    <w:sdtContent>
      <w:p>
        <w:pPr>
          <w:pStyle w:val="13"/>
          <w:ind w:firstLine="360"/>
          <w:jc w:val="center"/>
        </w:pPr>
        <w:r>
          <w:fldChar w:fldCharType="begin"/>
        </w:r>
        <w:r>
          <w:instrText xml:space="preserve">PAGE   \* MERGEFORMAT</w:instrText>
        </w:r>
        <w:r>
          <w:fldChar w:fldCharType="separate"/>
        </w:r>
        <w:r>
          <w:t>1</w:t>
        </w:r>
        <w:r>
          <w:fldChar w:fldCharType="end"/>
        </w:r>
      </w:p>
      <w:p>
        <w:pPr>
          <w:pStyle w:val="13"/>
          <w:ind w:firstLine="360"/>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6358"/>
    <w:rsid w:val="00006F4C"/>
    <w:rsid w:val="00011A54"/>
    <w:rsid w:val="00011F38"/>
    <w:rsid w:val="00022896"/>
    <w:rsid w:val="00027E16"/>
    <w:rsid w:val="000303F7"/>
    <w:rsid w:val="00033410"/>
    <w:rsid w:val="00035792"/>
    <w:rsid w:val="000366A3"/>
    <w:rsid w:val="0003737A"/>
    <w:rsid w:val="00041489"/>
    <w:rsid w:val="00042E78"/>
    <w:rsid w:val="00042EF1"/>
    <w:rsid w:val="00044408"/>
    <w:rsid w:val="000469E4"/>
    <w:rsid w:val="00047440"/>
    <w:rsid w:val="00050F31"/>
    <w:rsid w:val="00051839"/>
    <w:rsid w:val="000519B7"/>
    <w:rsid w:val="0005412A"/>
    <w:rsid w:val="00061242"/>
    <w:rsid w:val="00063CF9"/>
    <w:rsid w:val="00063FC6"/>
    <w:rsid w:val="00070614"/>
    <w:rsid w:val="000750D8"/>
    <w:rsid w:val="0007608F"/>
    <w:rsid w:val="00080FB5"/>
    <w:rsid w:val="000919A0"/>
    <w:rsid w:val="0009555B"/>
    <w:rsid w:val="000A1C8C"/>
    <w:rsid w:val="000A1CF1"/>
    <w:rsid w:val="000A21EC"/>
    <w:rsid w:val="000A4F27"/>
    <w:rsid w:val="000A56B1"/>
    <w:rsid w:val="000A68A1"/>
    <w:rsid w:val="000C0949"/>
    <w:rsid w:val="000C4E05"/>
    <w:rsid w:val="000D49E4"/>
    <w:rsid w:val="000D7D9E"/>
    <w:rsid w:val="000E156D"/>
    <w:rsid w:val="000E58A4"/>
    <w:rsid w:val="000E7281"/>
    <w:rsid w:val="000F184F"/>
    <w:rsid w:val="00100303"/>
    <w:rsid w:val="001016B0"/>
    <w:rsid w:val="0010544A"/>
    <w:rsid w:val="00106A7B"/>
    <w:rsid w:val="001103E9"/>
    <w:rsid w:val="0011242C"/>
    <w:rsid w:val="0012104E"/>
    <w:rsid w:val="001246D4"/>
    <w:rsid w:val="00134165"/>
    <w:rsid w:val="00136681"/>
    <w:rsid w:val="001372F0"/>
    <w:rsid w:val="00142E0E"/>
    <w:rsid w:val="00145F0F"/>
    <w:rsid w:val="001473CA"/>
    <w:rsid w:val="0015428D"/>
    <w:rsid w:val="00157A4E"/>
    <w:rsid w:val="00157CF6"/>
    <w:rsid w:val="001601CB"/>
    <w:rsid w:val="0016236B"/>
    <w:rsid w:val="00165BD8"/>
    <w:rsid w:val="00171292"/>
    <w:rsid w:val="001832DB"/>
    <w:rsid w:val="00194307"/>
    <w:rsid w:val="00194ECF"/>
    <w:rsid w:val="001A12B5"/>
    <w:rsid w:val="001A2256"/>
    <w:rsid w:val="001A2767"/>
    <w:rsid w:val="001A3EAA"/>
    <w:rsid w:val="001A47C2"/>
    <w:rsid w:val="001A6E2F"/>
    <w:rsid w:val="001B16AB"/>
    <w:rsid w:val="001B1BA3"/>
    <w:rsid w:val="001B2F55"/>
    <w:rsid w:val="001B74C9"/>
    <w:rsid w:val="001C1F75"/>
    <w:rsid w:val="001C3A61"/>
    <w:rsid w:val="001C3CD1"/>
    <w:rsid w:val="001D019A"/>
    <w:rsid w:val="001D4699"/>
    <w:rsid w:val="001D7934"/>
    <w:rsid w:val="001E0576"/>
    <w:rsid w:val="001E5BE3"/>
    <w:rsid w:val="001F0AD0"/>
    <w:rsid w:val="001F1BA4"/>
    <w:rsid w:val="001F1D82"/>
    <w:rsid w:val="001F55CE"/>
    <w:rsid w:val="00205C3E"/>
    <w:rsid w:val="0021040B"/>
    <w:rsid w:val="0021101C"/>
    <w:rsid w:val="00216CA6"/>
    <w:rsid w:val="0021791F"/>
    <w:rsid w:val="00222382"/>
    <w:rsid w:val="002228DD"/>
    <w:rsid w:val="002302EE"/>
    <w:rsid w:val="002323B9"/>
    <w:rsid w:val="00233A8C"/>
    <w:rsid w:val="00233AA6"/>
    <w:rsid w:val="002361DB"/>
    <w:rsid w:val="00236F67"/>
    <w:rsid w:val="002420C4"/>
    <w:rsid w:val="0024366C"/>
    <w:rsid w:val="00253E13"/>
    <w:rsid w:val="002617E0"/>
    <w:rsid w:val="002676BA"/>
    <w:rsid w:val="0027096C"/>
    <w:rsid w:val="002831AC"/>
    <w:rsid w:val="00292411"/>
    <w:rsid w:val="002A17E5"/>
    <w:rsid w:val="002A2222"/>
    <w:rsid w:val="002A2326"/>
    <w:rsid w:val="002A25E1"/>
    <w:rsid w:val="002A4665"/>
    <w:rsid w:val="002A6CE6"/>
    <w:rsid w:val="002A72EA"/>
    <w:rsid w:val="002B6958"/>
    <w:rsid w:val="002B696D"/>
    <w:rsid w:val="002C2C3B"/>
    <w:rsid w:val="002C6BDA"/>
    <w:rsid w:val="002D0B71"/>
    <w:rsid w:val="002D421B"/>
    <w:rsid w:val="002D471B"/>
    <w:rsid w:val="002D79DE"/>
    <w:rsid w:val="002E008C"/>
    <w:rsid w:val="002E279B"/>
    <w:rsid w:val="002E2C4A"/>
    <w:rsid w:val="002E5124"/>
    <w:rsid w:val="002E69A0"/>
    <w:rsid w:val="002E6C9A"/>
    <w:rsid w:val="002F12CC"/>
    <w:rsid w:val="002F4467"/>
    <w:rsid w:val="00302210"/>
    <w:rsid w:val="003055AC"/>
    <w:rsid w:val="00305C9F"/>
    <w:rsid w:val="00314796"/>
    <w:rsid w:val="00314D38"/>
    <w:rsid w:val="00315EAE"/>
    <w:rsid w:val="00316E67"/>
    <w:rsid w:val="003269E1"/>
    <w:rsid w:val="00327FC2"/>
    <w:rsid w:val="00332DBE"/>
    <w:rsid w:val="00337ECA"/>
    <w:rsid w:val="00345651"/>
    <w:rsid w:val="003476FA"/>
    <w:rsid w:val="00347BA7"/>
    <w:rsid w:val="0035607A"/>
    <w:rsid w:val="003644D7"/>
    <w:rsid w:val="00366700"/>
    <w:rsid w:val="003717BC"/>
    <w:rsid w:val="0038149E"/>
    <w:rsid w:val="00387A30"/>
    <w:rsid w:val="003907D9"/>
    <w:rsid w:val="00392328"/>
    <w:rsid w:val="00394191"/>
    <w:rsid w:val="003A2E37"/>
    <w:rsid w:val="003A3A88"/>
    <w:rsid w:val="003A4732"/>
    <w:rsid w:val="003A475F"/>
    <w:rsid w:val="003A4D29"/>
    <w:rsid w:val="003A7066"/>
    <w:rsid w:val="003B025D"/>
    <w:rsid w:val="003B06AD"/>
    <w:rsid w:val="003B3BC7"/>
    <w:rsid w:val="003C1938"/>
    <w:rsid w:val="003C2D8F"/>
    <w:rsid w:val="003C374B"/>
    <w:rsid w:val="003C41EB"/>
    <w:rsid w:val="003D00C9"/>
    <w:rsid w:val="003D08EE"/>
    <w:rsid w:val="003D4B74"/>
    <w:rsid w:val="003D6316"/>
    <w:rsid w:val="003E11D0"/>
    <w:rsid w:val="003E1D24"/>
    <w:rsid w:val="003E20F9"/>
    <w:rsid w:val="003F7C78"/>
    <w:rsid w:val="00400249"/>
    <w:rsid w:val="00401D2B"/>
    <w:rsid w:val="0040301B"/>
    <w:rsid w:val="004137AC"/>
    <w:rsid w:val="00415AE1"/>
    <w:rsid w:val="004216A8"/>
    <w:rsid w:val="00424257"/>
    <w:rsid w:val="004255B1"/>
    <w:rsid w:val="00427C4F"/>
    <w:rsid w:val="004353F5"/>
    <w:rsid w:val="00444929"/>
    <w:rsid w:val="00445A46"/>
    <w:rsid w:val="00447D58"/>
    <w:rsid w:val="0045694E"/>
    <w:rsid w:val="00460191"/>
    <w:rsid w:val="004607D1"/>
    <w:rsid w:val="00465A0D"/>
    <w:rsid w:val="00466388"/>
    <w:rsid w:val="004675C5"/>
    <w:rsid w:val="0048082E"/>
    <w:rsid w:val="00481F5E"/>
    <w:rsid w:val="004830F5"/>
    <w:rsid w:val="004913FE"/>
    <w:rsid w:val="00492A79"/>
    <w:rsid w:val="00495EC6"/>
    <w:rsid w:val="004A2793"/>
    <w:rsid w:val="004A3667"/>
    <w:rsid w:val="004A4FF1"/>
    <w:rsid w:val="004B20F0"/>
    <w:rsid w:val="004B218A"/>
    <w:rsid w:val="004B37AA"/>
    <w:rsid w:val="004C3D04"/>
    <w:rsid w:val="004C4545"/>
    <w:rsid w:val="004C4926"/>
    <w:rsid w:val="004C771F"/>
    <w:rsid w:val="004E3277"/>
    <w:rsid w:val="004F0DDC"/>
    <w:rsid w:val="004F20F5"/>
    <w:rsid w:val="004F22D0"/>
    <w:rsid w:val="004F414D"/>
    <w:rsid w:val="004F43ED"/>
    <w:rsid w:val="0050041F"/>
    <w:rsid w:val="00500EB7"/>
    <w:rsid w:val="0050553C"/>
    <w:rsid w:val="00510689"/>
    <w:rsid w:val="00521C36"/>
    <w:rsid w:val="00523C07"/>
    <w:rsid w:val="0053147A"/>
    <w:rsid w:val="0054326A"/>
    <w:rsid w:val="00556EDC"/>
    <w:rsid w:val="005602E5"/>
    <w:rsid w:val="00564CF7"/>
    <w:rsid w:val="005767E6"/>
    <w:rsid w:val="00576A7F"/>
    <w:rsid w:val="005776B6"/>
    <w:rsid w:val="00577CD7"/>
    <w:rsid w:val="00580CCB"/>
    <w:rsid w:val="00581D9E"/>
    <w:rsid w:val="00582C83"/>
    <w:rsid w:val="005830FF"/>
    <w:rsid w:val="0058704E"/>
    <w:rsid w:val="00592D1A"/>
    <w:rsid w:val="00593D50"/>
    <w:rsid w:val="00595C2E"/>
    <w:rsid w:val="005A0770"/>
    <w:rsid w:val="005A0BDA"/>
    <w:rsid w:val="005A1E40"/>
    <w:rsid w:val="005A3C8C"/>
    <w:rsid w:val="005A66FF"/>
    <w:rsid w:val="005A7606"/>
    <w:rsid w:val="005B6332"/>
    <w:rsid w:val="005C1CD7"/>
    <w:rsid w:val="005D1478"/>
    <w:rsid w:val="005D1532"/>
    <w:rsid w:val="005D44FB"/>
    <w:rsid w:val="005E1AB3"/>
    <w:rsid w:val="005E2806"/>
    <w:rsid w:val="005E4A99"/>
    <w:rsid w:val="005E59A6"/>
    <w:rsid w:val="005E5C64"/>
    <w:rsid w:val="005E6169"/>
    <w:rsid w:val="005F1EA7"/>
    <w:rsid w:val="005F6543"/>
    <w:rsid w:val="005F7BBC"/>
    <w:rsid w:val="006071C4"/>
    <w:rsid w:val="0060748D"/>
    <w:rsid w:val="00611AFD"/>
    <w:rsid w:val="0061225A"/>
    <w:rsid w:val="00612379"/>
    <w:rsid w:val="00613213"/>
    <w:rsid w:val="00613E2B"/>
    <w:rsid w:val="00617D4E"/>
    <w:rsid w:val="00620EDB"/>
    <w:rsid w:val="0062171A"/>
    <w:rsid w:val="00624725"/>
    <w:rsid w:val="006250C0"/>
    <w:rsid w:val="00630E76"/>
    <w:rsid w:val="006324E9"/>
    <w:rsid w:val="00637AA1"/>
    <w:rsid w:val="00641379"/>
    <w:rsid w:val="0064371F"/>
    <w:rsid w:val="0064633C"/>
    <w:rsid w:val="00650C71"/>
    <w:rsid w:val="00650E09"/>
    <w:rsid w:val="006532DA"/>
    <w:rsid w:val="00663353"/>
    <w:rsid w:val="006655C4"/>
    <w:rsid w:val="00671527"/>
    <w:rsid w:val="006835E9"/>
    <w:rsid w:val="00685006"/>
    <w:rsid w:val="0069108D"/>
    <w:rsid w:val="006A2240"/>
    <w:rsid w:val="006A23D1"/>
    <w:rsid w:val="006A2B85"/>
    <w:rsid w:val="006A2D69"/>
    <w:rsid w:val="006A4F50"/>
    <w:rsid w:val="006B72ED"/>
    <w:rsid w:val="006C6A53"/>
    <w:rsid w:val="006D28D5"/>
    <w:rsid w:val="006D29FB"/>
    <w:rsid w:val="006D7F80"/>
    <w:rsid w:val="006E0FD0"/>
    <w:rsid w:val="006E3105"/>
    <w:rsid w:val="00700E54"/>
    <w:rsid w:val="007025DB"/>
    <w:rsid w:val="007044F7"/>
    <w:rsid w:val="00707DE6"/>
    <w:rsid w:val="00711BE1"/>
    <w:rsid w:val="007128AB"/>
    <w:rsid w:val="007131A7"/>
    <w:rsid w:val="00713FE4"/>
    <w:rsid w:val="00715862"/>
    <w:rsid w:val="007169B2"/>
    <w:rsid w:val="00721F90"/>
    <w:rsid w:val="00722B52"/>
    <w:rsid w:val="00726688"/>
    <w:rsid w:val="007266FA"/>
    <w:rsid w:val="00732280"/>
    <w:rsid w:val="0073571C"/>
    <w:rsid w:val="0074103B"/>
    <w:rsid w:val="007420B4"/>
    <w:rsid w:val="007431A5"/>
    <w:rsid w:val="007442F3"/>
    <w:rsid w:val="00747FE0"/>
    <w:rsid w:val="00751905"/>
    <w:rsid w:val="00753103"/>
    <w:rsid w:val="007536D8"/>
    <w:rsid w:val="00760BBE"/>
    <w:rsid w:val="00762ED1"/>
    <w:rsid w:val="0076354E"/>
    <w:rsid w:val="00764BE4"/>
    <w:rsid w:val="00770438"/>
    <w:rsid w:val="00770690"/>
    <w:rsid w:val="00772323"/>
    <w:rsid w:val="007768F6"/>
    <w:rsid w:val="0078149B"/>
    <w:rsid w:val="00793A2B"/>
    <w:rsid w:val="00793AF8"/>
    <w:rsid w:val="007A3D96"/>
    <w:rsid w:val="007C391B"/>
    <w:rsid w:val="007C6B7E"/>
    <w:rsid w:val="007D06EC"/>
    <w:rsid w:val="007D2CA2"/>
    <w:rsid w:val="007D479E"/>
    <w:rsid w:val="007D677B"/>
    <w:rsid w:val="007D7431"/>
    <w:rsid w:val="007D7614"/>
    <w:rsid w:val="007E0BB4"/>
    <w:rsid w:val="007E2BCA"/>
    <w:rsid w:val="007F1EAF"/>
    <w:rsid w:val="007F566C"/>
    <w:rsid w:val="007F5AA4"/>
    <w:rsid w:val="007F712D"/>
    <w:rsid w:val="008029AB"/>
    <w:rsid w:val="00804900"/>
    <w:rsid w:val="00811BA8"/>
    <w:rsid w:val="00813177"/>
    <w:rsid w:val="00816AE6"/>
    <w:rsid w:val="00820992"/>
    <w:rsid w:val="00822716"/>
    <w:rsid w:val="00825012"/>
    <w:rsid w:val="008256EE"/>
    <w:rsid w:val="008321FE"/>
    <w:rsid w:val="0083303A"/>
    <w:rsid w:val="008337B6"/>
    <w:rsid w:val="00835879"/>
    <w:rsid w:val="008417C5"/>
    <w:rsid w:val="00843ECE"/>
    <w:rsid w:val="00850DBC"/>
    <w:rsid w:val="00851702"/>
    <w:rsid w:val="008579A6"/>
    <w:rsid w:val="008608D2"/>
    <w:rsid w:val="00864A57"/>
    <w:rsid w:val="00865047"/>
    <w:rsid w:val="008722CC"/>
    <w:rsid w:val="0087288C"/>
    <w:rsid w:val="0087386E"/>
    <w:rsid w:val="008814F9"/>
    <w:rsid w:val="008852C6"/>
    <w:rsid w:val="00891C3A"/>
    <w:rsid w:val="008A0DDB"/>
    <w:rsid w:val="008A6A31"/>
    <w:rsid w:val="008A71E0"/>
    <w:rsid w:val="008B3AC4"/>
    <w:rsid w:val="008C2850"/>
    <w:rsid w:val="008D3157"/>
    <w:rsid w:val="008D4649"/>
    <w:rsid w:val="008D4BDA"/>
    <w:rsid w:val="008D50E2"/>
    <w:rsid w:val="008E0569"/>
    <w:rsid w:val="008E13CB"/>
    <w:rsid w:val="008E4071"/>
    <w:rsid w:val="008F0172"/>
    <w:rsid w:val="008F5D50"/>
    <w:rsid w:val="00900936"/>
    <w:rsid w:val="00901ACB"/>
    <w:rsid w:val="00906983"/>
    <w:rsid w:val="0090779A"/>
    <w:rsid w:val="00910453"/>
    <w:rsid w:val="009239C8"/>
    <w:rsid w:val="00923D41"/>
    <w:rsid w:val="0093521B"/>
    <w:rsid w:val="00935BA8"/>
    <w:rsid w:val="00944405"/>
    <w:rsid w:val="00945020"/>
    <w:rsid w:val="00945846"/>
    <w:rsid w:val="009466DD"/>
    <w:rsid w:val="00946D12"/>
    <w:rsid w:val="0095028D"/>
    <w:rsid w:val="0095037C"/>
    <w:rsid w:val="00952729"/>
    <w:rsid w:val="00955B85"/>
    <w:rsid w:val="009571AF"/>
    <w:rsid w:val="0096381D"/>
    <w:rsid w:val="00965D45"/>
    <w:rsid w:val="00967B35"/>
    <w:rsid w:val="00973080"/>
    <w:rsid w:val="00973BD8"/>
    <w:rsid w:val="00973C49"/>
    <w:rsid w:val="00973F2B"/>
    <w:rsid w:val="00976224"/>
    <w:rsid w:val="00976F5C"/>
    <w:rsid w:val="00977E9C"/>
    <w:rsid w:val="009843AD"/>
    <w:rsid w:val="00990DA8"/>
    <w:rsid w:val="00992210"/>
    <w:rsid w:val="009928D3"/>
    <w:rsid w:val="0099703B"/>
    <w:rsid w:val="0099724B"/>
    <w:rsid w:val="009A044F"/>
    <w:rsid w:val="009A6B75"/>
    <w:rsid w:val="009A7675"/>
    <w:rsid w:val="009C4A6D"/>
    <w:rsid w:val="009D0B43"/>
    <w:rsid w:val="009D422A"/>
    <w:rsid w:val="009D75A9"/>
    <w:rsid w:val="009D7650"/>
    <w:rsid w:val="009E55DF"/>
    <w:rsid w:val="009F12DD"/>
    <w:rsid w:val="009F45AA"/>
    <w:rsid w:val="009F53D5"/>
    <w:rsid w:val="00A01F77"/>
    <w:rsid w:val="00A076E0"/>
    <w:rsid w:val="00A07BD5"/>
    <w:rsid w:val="00A1491A"/>
    <w:rsid w:val="00A16849"/>
    <w:rsid w:val="00A213D3"/>
    <w:rsid w:val="00A27D79"/>
    <w:rsid w:val="00A3073F"/>
    <w:rsid w:val="00A3169B"/>
    <w:rsid w:val="00A3399B"/>
    <w:rsid w:val="00A33F29"/>
    <w:rsid w:val="00A35BCF"/>
    <w:rsid w:val="00A35C6A"/>
    <w:rsid w:val="00A37177"/>
    <w:rsid w:val="00A4441D"/>
    <w:rsid w:val="00A456C1"/>
    <w:rsid w:val="00A46C34"/>
    <w:rsid w:val="00A531B5"/>
    <w:rsid w:val="00A537F4"/>
    <w:rsid w:val="00A6272F"/>
    <w:rsid w:val="00A6312B"/>
    <w:rsid w:val="00A67AA3"/>
    <w:rsid w:val="00A7113D"/>
    <w:rsid w:val="00A759D7"/>
    <w:rsid w:val="00A76B74"/>
    <w:rsid w:val="00A8347D"/>
    <w:rsid w:val="00A83BDE"/>
    <w:rsid w:val="00A83F78"/>
    <w:rsid w:val="00A94BC7"/>
    <w:rsid w:val="00A95A9D"/>
    <w:rsid w:val="00AA3E3E"/>
    <w:rsid w:val="00AA576E"/>
    <w:rsid w:val="00AB5005"/>
    <w:rsid w:val="00AB70C0"/>
    <w:rsid w:val="00AC0AAA"/>
    <w:rsid w:val="00AC4295"/>
    <w:rsid w:val="00AD52EA"/>
    <w:rsid w:val="00AD538E"/>
    <w:rsid w:val="00AE0E56"/>
    <w:rsid w:val="00AE1FAC"/>
    <w:rsid w:val="00AE25DC"/>
    <w:rsid w:val="00AE3D8C"/>
    <w:rsid w:val="00AF18E0"/>
    <w:rsid w:val="00AF5809"/>
    <w:rsid w:val="00AF59CC"/>
    <w:rsid w:val="00AF5AF4"/>
    <w:rsid w:val="00AF7988"/>
    <w:rsid w:val="00B00A5B"/>
    <w:rsid w:val="00B02417"/>
    <w:rsid w:val="00B04DFB"/>
    <w:rsid w:val="00B05D8E"/>
    <w:rsid w:val="00B07324"/>
    <w:rsid w:val="00B1067D"/>
    <w:rsid w:val="00B1401F"/>
    <w:rsid w:val="00B15096"/>
    <w:rsid w:val="00B30136"/>
    <w:rsid w:val="00B30204"/>
    <w:rsid w:val="00B31B11"/>
    <w:rsid w:val="00B3313B"/>
    <w:rsid w:val="00B33B22"/>
    <w:rsid w:val="00B35A7E"/>
    <w:rsid w:val="00B43B23"/>
    <w:rsid w:val="00B469BC"/>
    <w:rsid w:val="00B479BE"/>
    <w:rsid w:val="00B50824"/>
    <w:rsid w:val="00B61610"/>
    <w:rsid w:val="00B63B35"/>
    <w:rsid w:val="00B64B22"/>
    <w:rsid w:val="00B738F2"/>
    <w:rsid w:val="00B73C45"/>
    <w:rsid w:val="00B73F06"/>
    <w:rsid w:val="00B749E8"/>
    <w:rsid w:val="00B76441"/>
    <w:rsid w:val="00B7686B"/>
    <w:rsid w:val="00B8221E"/>
    <w:rsid w:val="00B86E1B"/>
    <w:rsid w:val="00B9066F"/>
    <w:rsid w:val="00B95F2D"/>
    <w:rsid w:val="00B97282"/>
    <w:rsid w:val="00B9783B"/>
    <w:rsid w:val="00BA6F47"/>
    <w:rsid w:val="00BB3220"/>
    <w:rsid w:val="00BB3251"/>
    <w:rsid w:val="00BB3854"/>
    <w:rsid w:val="00BB5E10"/>
    <w:rsid w:val="00BB707A"/>
    <w:rsid w:val="00BC3075"/>
    <w:rsid w:val="00BD4D26"/>
    <w:rsid w:val="00BE32F8"/>
    <w:rsid w:val="00BE4E14"/>
    <w:rsid w:val="00BE566A"/>
    <w:rsid w:val="00BF6AEF"/>
    <w:rsid w:val="00C0183B"/>
    <w:rsid w:val="00C01C9D"/>
    <w:rsid w:val="00C04D59"/>
    <w:rsid w:val="00C10CC4"/>
    <w:rsid w:val="00C129BD"/>
    <w:rsid w:val="00C14606"/>
    <w:rsid w:val="00C160FC"/>
    <w:rsid w:val="00C16F80"/>
    <w:rsid w:val="00C1749A"/>
    <w:rsid w:val="00C17B4C"/>
    <w:rsid w:val="00C253ED"/>
    <w:rsid w:val="00C261DB"/>
    <w:rsid w:val="00C304D5"/>
    <w:rsid w:val="00C309B6"/>
    <w:rsid w:val="00C32285"/>
    <w:rsid w:val="00C340D2"/>
    <w:rsid w:val="00C3517B"/>
    <w:rsid w:val="00C418DD"/>
    <w:rsid w:val="00C44954"/>
    <w:rsid w:val="00C44FF9"/>
    <w:rsid w:val="00C473C4"/>
    <w:rsid w:val="00C517D8"/>
    <w:rsid w:val="00C52CDE"/>
    <w:rsid w:val="00C5760F"/>
    <w:rsid w:val="00C57620"/>
    <w:rsid w:val="00C67533"/>
    <w:rsid w:val="00C77FE9"/>
    <w:rsid w:val="00C82AEC"/>
    <w:rsid w:val="00C8372B"/>
    <w:rsid w:val="00C92341"/>
    <w:rsid w:val="00C92740"/>
    <w:rsid w:val="00C93A18"/>
    <w:rsid w:val="00C9433F"/>
    <w:rsid w:val="00C9557B"/>
    <w:rsid w:val="00C95DFD"/>
    <w:rsid w:val="00C961DF"/>
    <w:rsid w:val="00CA0F38"/>
    <w:rsid w:val="00CA2DA1"/>
    <w:rsid w:val="00CB28B5"/>
    <w:rsid w:val="00CC01E2"/>
    <w:rsid w:val="00CC484E"/>
    <w:rsid w:val="00CC4988"/>
    <w:rsid w:val="00CC5C4A"/>
    <w:rsid w:val="00CD1BF9"/>
    <w:rsid w:val="00CD4A29"/>
    <w:rsid w:val="00CD4A32"/>
    <w:rsid w:val="00CE0D99"/>
    <w:rsid w:val="00CE1EBA"/>
    <w:rsid w:val="00CF0EC1"/>
    <w:rsid w:val="00CF1AA0"/>
    <w:rsid w:val="00CF516D"/>
    <w:rsid w:val="00D0015F"/>
    <w:rsid w:val="00D01655"/>
    <w:rsid w:val="00D026F1"/>
    <w:rsid w:val="00D07E3B"/>
    <w:rsid w:val="00D10B50"/>
    <w:rsid w:val="00D13424"/>
    <w:rsid w:val="00D23B95"/>
    <w:rsid w:val="00D355DD"/>
    <w:rsid w:val="00D35F1A"/>
    <w:rsid w:val="00D3674F"/>
    <w:rsid w:val="00D42A00"/>
    <w:rsid w:val="00D44355"/>
    <w:rsid w:val="00D45F81"/>
    <w:rsid w:val="00D502F9"/>
    <w:rsid w:val="00D50820"/>
    <w:rsid w:val="00D57064"/>
    <w:rsid w:val="00D6195B"/>
    <w:rsid w:val="00D627D8"/>
    <w:rsid w:val="00D64046"/>
    <w:rsid w:val="00D650C2"/>
    <w:rsid w:val="00D7018C"/>
    <w:rsid w:val="00D7333C"/>
    <w:rsid w:val="00D7367D"/>
    <w:rsid w:val="00D74D96"/>
    <w:rsid w:val="00D85373"/>
    <w:rsid w:val="00D9372B"/>
    <w:rsid w:val="00DA2D75"/>
    <w:rsid w:val="00DA333F"/>
    <w:rsid w:val="00DA6F47"/>
    <w:rsid w:val="00DB1AFC"/>
    <w:rsid w:val="00DB21FC"/>
    <w:rsid w:val="00DB473A"/>
    <w:rsid w:val="00DB5B6C"/>
    <w:rsid w:val="00DC1CFC"/>
    <w:rsid w:val="00DC2AB9"/>
    <w:rsid w:val="00DC3765"/>
    <w:rsid w:val="00DC585D"/>
    <w:rsid w:val="00DC6242"/>
    <w:rsid w:val="00DC6C04"/>
    <w:rsid w:val="00DE1756"/>
    <w:rsid w:val="00DE2159"/>
    <w:rsid w:val="00DE27E4"/>
    <w:rsid w:val="00DE46E8"/>
    <w:rsid w:val="00DE5C56"/>
    <w:rsid w:val="00DF43A4"/>
    <w:rsid w:val="00DF4C66"/>
    <w:rsid w:val="00DF6032"/>
    <w:rsid w:val="00E01CAD"/>
    <w:rsid w:val="00E03142"/>
    <w:rsid w:val="00E0754B"/>
    <w:rsid w:val="00E07879"/>
    <w:rsid w:val="00E106E5"/>
    <w:rsid w:val="00E114E5"/>
    <w:rsid w:val="00E17A7C"/>
    <w:rsid w:val="00E21291"/>
    <w:rsid w:val="00E22B94"/>
    <w:rsid w:val="00E253DB"/>
    <w:rsid w:val="00E26743"/>
    <w:rsid w:val="00E31AA6"/>
    <w:rsid w:val="00E3407A"/>
    <w:rsid w:val="00E34EEE"/>
    <w:rsid w:val="00E34FFE"/>
    <w:rsid w:val="00E357F7"/>
    <w:rsid w:val="00E36B92"/>
    <w:rsid w:val="00E37975"/>
    <w:rsid w:val="00E40867"/>
    <w:rsid w:val="00E412AF"/>
    <w:rsid w:val="00E47D1B"/>
    <w:rsid w:val="00E5339A"/>
    <w:rsid w:val="00E56D5F"/>
    <w:rsid w:val="00E60598"/>
    <w:rsid w:val="00E60E3A"/>
    <w:rsid w:val="00E63954"/>
    <w:rsid w:val="00E66F9F"/>
    <w:rsid w:val="00E756F3"/>
    <w:rsid w:val="00E768E6"/>
    <w:rsid w:val="00E8106F"/>
    <w:rsid w:val="00E823E1"/>
    <w:rsid w:val="00E83816"/>
    <w:rsid w:val="00E94010"/>
    <w:rsid w:val="00E9431F"/>
    <w:rsid w:val="00E954BA"/>
    <w:rsid w:val="00EA19A0"/>
    <w:rsid w:val="00EB0CAF"/>
    <w:rsid w:val="00EC505E"/>
    <w:rsid w:val="00ED0FCC"/>
    <w:rsid w:val="00ED6BBB"/>
    <w:rsid w:val="00EE0722"/>
    <w:rsid w:val="00EE2934"/>
    <w:rsid w:val="00EE48CB"/>
    <w:rsid w:val="00EE50D3"/>
    <w:rsid w:val="00EE6EF8"/>
    <w:rsid w:val="00EF03D8"/>
    <w:rsid w:val="00EF1A13"/>
    <w:rsid w:val="00EF3F31"/>
    <w:rsid w:val="00EF4D82"/>
    <w:rsid w:val="00EF795D"/>
    <w:rsid w:val="00F0327B"/>
    <w:rsid w:val="00F10648"/>
    <w:rsid w:val="00F11AC5"/>
    <w:rsid w:val="00F14FEC"/>
    <w:rsid w:val="00F20426"/>
    <w:rsid w:val="00F24B37"/>
    <w:rsid w:val="00F313BB"/>
    <w:rsid w:val="00F342FC"/>
    <w:rsid w:val="00F3540F"/>
    <w:rsid w:val="00F36CD4"/>
    <w:rsid w:val="00F406CF"/>
    <w:rsid w:val="00F41C1A"/>
    <w:rsid w:val="00F420CF"/>
    <w:rsid w:val="00F43456"/>
    <w:rsid w:val="00F449BF"/>
    <w:rsid w:val="00F67006"/>
    <w:rsid w:val="00F7293A"/>
    <w:rsid w:val="00F72FC7"/>
    <w:rsid w:val="00F733F1"/>
    <w:rsid w:val="00F73C9B"/>
    <w:rsid w:val="00F816EF"/>
    <w:rsid w:val="00F821D0"/>
    <w:rsid w:val="00F84618"/>
    <w:rsid w:val="00F87355"/>
    <w:rsid w:val="00F8768A"/>
    <w:rsid w:val="00F91758"/>
    <w:rsid w:val="00F92215"/>
    <w:rsid w:val="00F92DC5"/>
    <w:rsid w:val="00F95046"/>
    <w:rsid w:val="00F9677E"/>
    <w:rsid w:val="00F96DA7"/>
    <w:rsid w:val="00FA2801"/>
    <w:rsid w:val="00FA3966"/>
    <w:rsid w:val="00FA76ED"/>
    <w:rsid w:val="00FB11EA"/>
    <w:rsid w:val="00FB5B4B"/>
    <w:rsid w:val="00FB6AF6"/>
    <w:rsid w:val="00FC136F"/>
    <w:rsid w:val="00FD3770"/>
    <w:rsid w:val="00FD3CDE"/>
    <w:rsid w:val="00FD4AA0"/>
    <w:rsid w:val="00FD4CD7"/>
    <w:rsid w:val="00FD70DB"/>
    <w:rsid w:val="00FD7726"/>
    <w:rsid w:val="00FD7D67"/>
    <w:rsid w:val="00FE0566"/>
    <w:rsid w:val="00FE58F8"/>
    <w:rsid w:val="00FF5597"/>
    <w:rsid w:val="01625D75"/>
    <w:rsid w:val="021B5D80"/>
    <w:rsid w:val="032C7367"/>
    <w:rsid w:val="03A777E8"/>
    <w:rsid w:val="0447658D"/>
    <w:rsid w:val="06FA6079"/>
    <w:rsid w:val="0AF22C64"/>
    <w:rsid w:val="0D404A94"/>
    <w:rsid w:val="0EC77816"/>
    <w:rsid w:val="10FA6339"/>
    <w:rsid w:val="127C25C8"/>
    <w:rsid w:val="21267E94"/>
    <w:rsid w:val="24A1094F"/>
    <w:rsid w:val="28630A06"/>
    <w:rsid w:val="29D22ECB"/>
    <w:rsid w:val="2DC46A55"/>
    <w:rsid w:val="30A6132F"/>
    <w:rsid w:val="322B3E30"/>
    <w:rsid w:val="3337166E"/>
    <w:rsid w:val="35BA3BA9"/>
    <w:rsid w:val="38097E03"/>
    <w:rsid w:val="381B323F"/>
    <w:rsid w:val="3C70215F"/>
    <w:rsid w:val="3CF27C4B"/>
    <w:rsid w:val="41BA7FF5"/>
    <w:rsid w:val="43600657"/>
    <w:rsid w:val="43BE1A77"/>
    <w:rsid w:val="43E83C0E"/>
    <w:rsid w:val="45A35E98"/>
    <w:rsid w:val="45C53D6D"/>
    <w:rsid w:val="48B026FF"/>
    <w:rsid w:val="4B5B699C"/>
    <w:rsid w:val="4E3432CE"/>
    <w:rsid w:val="549B30BA"/>
    <w:rsid w:val="57AC488E"/>
    <w:rsid w:val="5A0A0C8C"/>
    <w:rsid w:val="5A204F30"/>
    <w:rsid w:val="5A4468A2"/>
    <w:rsid w:val="60D95EAC"/>
    <w:rsid w:val="61DD5EFF"/>
    <w:rsid w:val="64020323"/>
    <w:rsid w:val="65D547D7"/>
    <w:rsid w:val="66CB4906"/>
    <w:rsid w:val="66CF1BC9"/>
    <w:rsid w:val="6B1D343F"/>
    <w:rsid w:val="6D313B07"/>
    <w:rsid w:val="6D3B6509"/>
    <w:rsid w:val="6E667DB2"/>
    <w:rsid w:val="708A64E3"/>
    <w:rsid w:val="761245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9" w:semiHidden="0" w:name="heading 3" w:locked="1"/>
    <w:lsdException w:qFormat="1" w:uiPriority="99" w:semiHidden="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ocked="1"/>
    <w:lsdException w:qFormat="1" w:unhideWhenUsed="0" w:uiPriority="3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5"/>
    <w:qFormat/>
    <w:uiPriority w:val="99"/>
    <w:pPr>
      <w:keepNext/>
      <w:keepLines/>
      <w:outlineLvl w:val="0"/>
    </w:pPr>
    <w:rPr>
      <w:rFonts w:eastAsia="黑体"/>
      <w:kern w:val="44"/>
    </w:rPr>
  </w:style>
  <w:style w:type="paragraph" w:styleId="3">
    <w:name w:val="heading 2"/>
    <w:basedOn w:val="1"/>
    <w:next w:val="1"/>
    <w:link w:val="26"/>
    <w:qFormat/>
    <w:uiPriority w:val="99"/>
    <w:pPr>
      <w:keepNext/>
      <w:keepLines/>
      <w:outlineLvl w:val="1"/>
    </w:pPr>
    <w:rPr>
      <w:rFonts w:eastAsia="楷体_GB2312"/>
    </w:rPr>
  </w:style>
  <w:style w:type="paragraph" w:styleId="4">
    <w:name w:val="heading 3"/>
    <w:basedOn w:val="1"/>
    <w:next w:val="1"/>
    <w:link w:val="40"/>
    <w:unhideWhenUsed/>
    <w:qFormat/>
    <w:locked/>
    <w:uiPriority w:val="99"/>
    <w:pPr>
      <w:keepNext/>
      <w:keepLines/>
      <w:spacing w:before="260" w:after="260" w:line="416" w:lineRule="auto"/>
      <w:outlineLvl w:val="2"/>
    </w:pPr>
    <w:rPr>
      <w:b/>
      <w:bCs/>
    </w:rPr>
  </w:style>
  <w:style w:type="paragraph" w:styleId="5">
    <w:name w:val="heading 4"/>
    <w:basedOn w:val="1"/>
    <w:next w:val="1"/>
    <w:link w:val="41"/>
    <w:unhideWhenUsed/>
    <w:qFormat/>
    <w:locked/>
    <w:uiPriority w:val="9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7"/>
    <w:qFormat/>
    <w:uiPriority w:val="99"/>
    <w:pPr>
      <w:keepNext/>
      <w:keepLines/>
      <w:spacing w:before="280" w:after="290" w:line="374" w:lineRule="auto"/>
      <w:outlineLvl w:val="4"/>
    </w:pPr>
    <w:rPr>
      <w:b/>
      <w:bCs/>
      <w:sz w:val="28"/>
      <w:szCs w:val="28"/>
    </w:rPr>
  </w:style>
  <w:style w:type="character" w:default="1" w:styleId="20">
    <w:name w:val="Default Paragraph Font"/>
    <w:semiHidden/>
    <w:unhideWhenUsed/>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1"/>
    <w:semiHidden/>
    <w:qFormat/>
    <w:uiPriority w:val="99"/>
    <w:rPr>
      <w:b/>
      <w:bCs/>
    </w:rPr>
  </w:style>
  <w:style w:type="paragraph" w:styleId="8">
    <w:name w:val="annotation text"/>
    <w:basedOn w:val="1"/>
    <w:link w:val="30"/>
    <w:qFormat/>
    <w:uiPriority w:val="99"/>
    <w:pPr>
      <w:jc w:val="left"/>
    </w:pPr>
  </w:style>
  <w:style w:type="paragraph" w:styleId="9">
    <w:name w:val="toc 3"/>
    <w:basedOn w:val="1"/>
    <w:next w:val="1"/>
    <w:qFormat/>
    <w:locked/>
    <w:uiPriority w:val="39"/>
    <w:pPr>
      <w:ind w:left="840" w:leftChars="400"/>
    </w:pPr>
  </w:style>
  <w:style w:type="paragraph" w:styleId="10">
    <w:name w:val="Plain Text"/>
    <w:basedOn w:val="1"/>
    <w:link w:val="36"/>
    <w:qFormat/>
    <w:uiPriority w:val="99"/>
    <w:rPr>
      <w:rFonts w:ascii="宋体" w:hAnsi="Courier New" w:cs="Courier New"/>
      <w:sz w:val="21"/>
      <w:szCs w:val="21"/>
    </w:rPr>
  </w:style>
  <w:style w:type="paragraph" w:styleId="11">
    <w:name w:val="Date"/>
    <w:basedOn w:val="1"/>
    <w:next w:val="1"/>
    <w:link w:val="37"/>
    <w:semiHidden/>
    <w:qFormat/>
    <w:uiPriority w:val="99"/>
    <w:pPr>
      <w:ind w:left="100" w:leftChars="2500"/>
    </w:pPr>
  </w:style>
  <w:style w:type="paragraph" w:styleId="12">
    <w:name w:val="Balloon Text"/>
    <w:basedOn w:val="1"/>
    <w:link w:val="32"/>
    <w:semiHidden/>
    <w:qFormat/>
    <w:uiPriority w:val="99"/>
    <w:rPr>
      <w:sz w:val="18"/>
      <w:szCs w:val="18"/>
    </w:rPr>
  </w:style>
  <w:style w:type="paragraph" w:styleId="13">
    <w:name w:val="footer"/>
    <w:basedOn w:val="1"/>
    <w:link w:val="29"/>
    <w:qFormat/>
    <w:uiPriority w:val="99"/>
    <w:pPr>
      <w:tabs>
        <w:tab w:val="center" w:pos="4153"/>
        <w:tab w:val="right" w:pos="8306"/>
      </w:tabs>
      <w:snapToGrid w:val="0"/>
      <w:jc w:val="left"/>
    </w:pPr>
    <w:rPr>
      <w:sz w:val="18"/>
      <w:szCs w:val="18"/>
    </w:rPr>
  </w:style>
  <w:style w:type="paragraph" w:styleId="14">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qFormat/>
    <w:locked/>
    <w:uiPriority w:val="39"/>
    <w:pPr>
      <w:ind w:left="1260" w:leftChars="600"/>
    </w:pPr>
  </w:style>
  <w:style w:type="paragraph" w:styleId="17">
    <w:name w:val="toc 2"/>
    <w:basedOn w:val="1"/>
    <w:next w:val="1"/>
    <w:qFormat/>
    <w:uiPriority w:val="39"/>
    <w:pPr>
      <w:ind w:left="420" w:leftChars="20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link w:val="38"/>
    <w:qFormat/>
    <w:uiPriority w:val="99"/>
    <w:pPr>
      <w:spacing w:before="240" w:after="60"/>
      <w:jc w:val="center"/>
      <w:outlineLvl w:val="0"/>
    </w:pPr>
    <w:rPr>
      <w:rFonts w:ascii="Arial" w:hAnsi="Arial" w:cs="Arial"/>
      <w:b/>
      <w:bCs/>
    </w:rPr>
  </w:style>
  <w:style w:type="character" w:styleId="21">
    <w:name w:val="Strong"/>
    <w:qFormat/>
    <w:uiPriority w:val="99"/>
    <w:rPr>
      <w:rFonts w:cs="Times New Roman"/>
      <w:b/>
      <w:bCs/>
    </w:rPr>
  </w:style>
  <w:style w:type="character" w:styleId="22">
    <w:name w:val="Hyperlink"/>
    <w:qFormat/>
    <w:uiPriority w:val="99"/>
    <w:rPr>
      <w:rFonts w:cs="Times New Roman"/>
      <w:color w:val="0000FF"/>
      <w:u w:val="single"/>
    </w:rPr>
  </w:style>
  <w:style w:type="character" w:styleId="23">
    <w:name w:val="annotation reference"/>
    <w:qFormat/>
    <w:uiPriority w:val="99"/>
    <w:rPr>
      <w:rFonts w:cs="Times New Roman"/>
      <w:sz w:val="21"/>
      <w:szCs w:val="21"/>
    </w:rPr>
  </w:style>
  <w:style w:type="character" w:customStyle="1" w:styleId="25">
    <w:name w:val="标题 1 字符"/>
    <w:link w:val="2"/>
    <w:qFormat/>
    <w:locked/>
    <w:uiPriority w:val="99"/>
    <w:rPr>
      <w:rFonts w:eastAsia="黑体" w:cs="Times New Roman"/>
      <w:kern w:val="44"/>
      <w:sz w:val="32"/>
      <w:szCs w:val="32"/>
    </w:rPr>
  </w:style>
  <w:style w:type="character" w:customStyle="1" w:styleId="26">
    <w:name w:val="标题 2 字符"/>
    <w:link w:val="3"/>
    <w:qFormat/>
    <w:locked/>
    <w:uiPriority w:val="99"/>
    <w:rPr>
      <w:rFonts w:ascii="Times New Roman" w:hAnsi="Times New Roman" w:eastAsia="楷体_GB2312" w:cs="Times New Roman"/>
      <w:sz w:val="32"/>
      <w:szCs w:val="32"/>
    </w:rPr>
  </w:style>
  <w:style w:type="character" w:customStyle="1" w:styleId="27">
    <w:name w:val="标题 5 字符"/>
    <w:link w:val="6"/>
    <w:semiHidden/>
    <w:qFormat/>
    <w:locked/>
    <w:uiPriority w:val="99"/>
    <w:rPr>
      <w:rFonts w:cs="Times New Roman"/>
      <w:b/>
      <w:bCs/>
      <w:sz w:val="28"/>
      <w:szCs w:val="28"/>
    </w:rPr>
  </w:style>
  <w:style w:type="character" w:customStyle="1" w:styleId="28">
    <w:name w:val="页眉 字符"/>
    <w:link w:val="14"/>
    <w:qFormat/>
    <w:locked/>
    <w:uiPriority w:val="99"/>
    <w:rPr>
      <w:rFonts w:cs="Times New Roman"/>
      <w:sz w:val="18"/>
      <w:szCs w:val="18"/>
    </w:rPr>
  </w:style>
  <w:style w:type="character" w:customStyle="1" w:styleId="29">
    <w:name w:val="页脚 字符"/>
    <w:link w:val="13"/>
    <w:qFormat/>
    <w:locked/>
    <w:uiPriority w:val="99"/>
    <w:rPr>
      <w:rFonts w:cs="Times New Roman"/>
      <w:sz w:val="18"/>
      <w:szCs w:val="18"/>
    </w:rPr>
  </w:style>
  <w:style w:type="character" w:customStyle="1" w:styleId="30">
    <w:name w:val="批注文字 字符"/>
    <w:link w:val="8"/>
    <w:qFormat/>
    <w:locked/>
    <w:uiPriority w:val="99"/>
    <w:rPr>
      <w:rFonts w:cs="Times New Roman"/>
    </w:rPr>
  </w:style>
  <w:style w:type="character" w:customStyle="1" w:styleId="31">
    <w:name w:val="批注主题 字符"/>
    <w:link w:val="7"/>
    <w:semiHidden/>
    <w:qFormat/>
    <w:locked/>
    <w:uiPriority w:val="99"/>
    <w:rPr>
      <w:rFonts w:cs="Times New Roman"/>
      <w:b/>
      <w:bCs/>
    </w:rPr>
  </w:style>
  <w:style w:type="character" w:customStyle="1" w:styleId="32">
    <w:name w:val="批注框文本 字符"/>
    <w:link w:val="12"/>
    <w:semiHidden/>
    <w:qFormat/>
    <w:locked/>
    <w:uiPriority w:val="99"/>
    <w:rPr>
      <w:rFonts w:cs="Times New Roman"/>
      <w:sz w:val="18"/>
      <w:szCs w:val="18"/>
    </w:rPr>
  </w:style>
  <w:style w:type="paragraph" w:customStyle="1" w:styleId="33">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4">
    <w:name w:val="列出段落1"/>
    <w:basedOn w:val="1"/>
    <w:link w:val="35"/>
    <w:qFormat/>
    <w:uiPriority w:val="34"/>
    <w:pPr>
      <w:ind w:firstLine="420"/>
    </w:pPr>
  </w:style>
  <w:style w:type="character" w:customStyle="1" w:styleId="35">
    <w:name w:val="列出段落 Char"/>
    <w:link w:val="34"/>
    <w:qFormat/>
    <w:locked/>
    <w:uiPriority w:val="99"/>
  </w:style>
  <w:style w:type="character" w:customStyle="1" w:styleId="36">
    <w:name w:val="纯文本 字符"/>
    <w:link w:val="10"/>
    <w:qFormat/>
    <w:locked/>
    <w:uiPriority w:val="99"/>
    <w:rPr>
      <w:rFonts w:ascii="宋体" w:hAnsi="Courier New" w:cs="Courier New"/>
      <w:sz w:val="21"/>
      <w:szCs w:val="21"/>
    </w:rPr>
  </w:style>
  <w:style w:type="character" w:customStyle="1" w:styleId="37">
    <w:name w:val="日期 字符"/>
    <w:link w:val="11"/>
    <w:semiHidden/>
    <w:qFormat/>
    <w:locked/>
    <w:uiPriority w:val="99"/>
    <w:rPr>
      <w:rFonts w:cs="Times New Roman"/>
    </w:rPr>
  </w:style>
  <w:style w:type="character" w:customStyle="1" w:styleId="38">
    <w:name w:val="标题 字符"/>
    <w:link w:val="19"/>
    <w:qFormat/>
    <w:locked/>
    <w:uiPriority w:val="99"/>
    <w:rPr>
      <w:rFonts w:ascii="Arial" w:hAnsi="Arial" w:cs="Arial"/>
      <w:b/>
      <w:bCs/>
      <w:sz w:val="32"/>
      <w:szCs w:val="32"/>
    </w:rPr>
  </w:style>
  <w:style w:type="paragraph" w:customStyle="1" w:styleId="39">
    <w:name w:val="列表段落1"/>
    <w:basedOn w:val="1"/>
    <w:unhideWhenUsed/>
    <w:qFormat/>
    <w:uiPriority w:val="99"/>
    <w:pPr>
      <w:ind w:firstLine="420"/>
    </w:pPr>
  </w:style>
  <w:style w:type="character" w:customStyle="1" w:styleId="40">
    <w:name w:val="标题 3 字符"/>
    <w:basedOn w:val="20"/>
    <w:link w:val="4"/>
    <w:qFormat/>
    <w:uiPriority w:val="99"/>
    <w:rPr>
      <w:rFonts w:eastAsia="仿宋_GB2312"/>
      <w:b/>
      <w:bCs/>
      <w:kern w:val="2"/>
      <w:sz w:val="32"/>
      <w:szCs w:val="32"/>
    </w:rPr>
  </w:style>
  <w:style w:type="character" w:customStyle="1" w:styleId="41">
    <w:name w:val="标题 4 字符"/>
    <w:basedOn w:val="20"/>
    <w:link w:val="5"/>
    <w:qFormat/>
    <w:uiPriority w:val="99"/>
    <w:rPr>
      <w:rFonts w:asciiTheme="majorHAnsi" w:hAnsiTheme="majorHAnsi" w:eastAsiaTheme="majorEastAsia" w:cstheme="majorBidi"/>
      <w:b/>
      <w:bCs/>
      <w:kern w:val="2"/>
      <w:sz w:val="28"/>
      <w:szCs w:val="28"/>
    </w:rPr>
  </w:style>
  <w:style w:type="paragraph" w:customStyle="1" w:styleId="42">
    <w:name w:val="修订1"/>
    <w:hidden/>
    <w:semiHidden/>
    <w:qFormat/>
    <w:uiPriority w:val="99"/>
    <w:rPr>
      <w:rFonts w:ascii="Times New Roman" w:hAnsi="Times New Roman" w:eastAsia="仿宋_GB2312" w:cs="Times New Roman"/>
      <w:kern w:val="2"/>
      <w:sz w:val="32"/>
      <w:szCs w:val="32"/>
      <w:lang w:val="en-US" w:eastAsia="zh-CN" w:bidi="ar-SA"/>
    </w:rPr>
  </w:style>
  <w:style w:type="paragraph" w:customStyle="1" w:styleId="43">
    <w:name w:val="修订2"/>
    <w:hidden/>
    <w:semiHidden/>
    <w:qFormat/>
    <w:uiPriority w:val="99"/>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F6D09-BE45-429C-9FB0-0C346E48DB6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910</Words>
  <Characters>5190</Characters>
  <Lines>43</Lines>
  <Paragraphs>12</Paragraphs>
  <TotalTime>6</TotalTime>
  <ScaleCrop>false</ScaleCrop>
  <LinksUpToDate>false</LinksUpToDate>
  <CharactersWithSpaces>6088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2020-04-27T08:33:00Z</dcterms:created>
  <dc:creator>sl2-7</dc:creator>
  <cp:lastModifiedBy>user</cp:lastModifiedBy>
  <cp:lastPrinted>2020-04-22T07:39:00Z</cp:lastPrinted>
  <dcterms:modified xsi:type="dcterms:W3CDTF">2020-04-29T09:06:24Z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